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FA" w:rsidRPr="00F66358" w:rsidRDefault="00EA3407" w:rsidP="00F66358">
      <w:pPr>
        <w:jc w:val="center"/>
        <w:outlineLvl w:val="0"/>
        <w:rPr>
          <w:b/>
          <w:color w:val="000000" w:themeColor="text1"/>
          <w:sz w:val="28"/>
          <w:szCs w:val="28"/>
        </w:rPr>
      </w:pPr>
      <w:bookmarkStart w:id="0" w:name="OLE_LINK1"/>
      <w:bookmarkStart w:id="1" w:name="OLE_LINK2"/>
      <w:bookmarkStart w:id="2" w:name="_GoBack"/>
      <w:bookmarkEnd w:id="2"/>
      <w:r w:rsidRPr="00EA3407">
        <w:rPr>
          <w:b/>
          <w:color w:val="000000" w:themeColor="text1"/>
          <w:sz w:val="28"/>
          <w:szCs w:val="28"/>
        </w:rPr>
        <w:t>Ministru kabineta noteikumu projekta</w:t>
      </w:r>
    </w:p>
    <w:p w:rsidR="00782D13" w:rsidRDefault="00EA3407">
      <w:pPr>
        <w:jc w:val="center"/>
        <w:outlineLvl w:val="0"/>
        <w:rPr>
          <w:b/>
          <w:sz w:val="28"/>
          <w:szCs w:val="28"/>
        </w:rPr>
      </w:pPr>
      <w:r w:rsidRPr="00EA3407">
        <w:rPr>
          <w:b/>
          <w:color w:val="000000" w:themeColor="text1"/>
          <w:sz w:val="28"/>
          <w:szCs w:val="28"/>
        </w:rPr>
        <w:t>„Grozījums Ministru kabineta 2010.gada 28.decembra noteikumos Nr.1238 „</w:t>
      </w:r>
      <w:hyperlink r:id="rId9" w:tgtFrame="_blank" w:history="1">
        <w:r w:rsidRPr="00EA3407">
          <w:rPr>
            <w:b/>
            <w:color w:val="000000" w:themeColor="text1"/>
            <w:sz w:val="28"/>
            <w:szCs w:val="28"/>
          </w:rPr>
          <w:t>Noteikumi par valsts nodevu par apraides atļaujas izsniegšanu, retranslācijas atļaujas izsniegšanu un tāda pakalpojumu sniedzēja reģistrāciju, kas sniedz elektronisko plašsaziņas līdzekļu pakalpojumus pēc pieprasījuma</w:t>
        </w:r>
      </w:hyperlink>
      <w:r w:rsidRPr="00EA3407">
        <w:rPr>
          <w:b/>
          <w:color w:val="000000" w:themeColor="text1"/>
          <w:sz w:val="28"/>
          <w:szCs w:val="28"/>
        </w:rPr>
        <w:t>”</w:t>
      </w:r>
      <w:r w:rsidR="00F66358" w:rsidRPr="00F66358">
        <w:rPr>
          <w:b/>
          <w:color w:val="000000" w:themeColor="text1"/>
          <w:sz w:val="28"/>
          <w:szCs w:val="28"/>
        </w:rPr>
        <w:t xml:space="preserve"> </w:t>
      </w:r>
      <w:r w:rsidRPr="00EA3407">
        <w:rPr>
          <w:b/>
          <w:sz w:val="28"/>
          <w:szCs w:val="28"/>
        </w:rPr>
        <w:t>sākotnējās ietekmes novērtējuma ziņojums (anotācija)</w:t>
      </w:r>
    </w:p>
    <w:bookmarkEnd w:id="0"/>
    <w:bookmarkEnd w:id="1"/>
    <w:p w:rsidR="004A3C8A" w:rsidRPr="00F66358" w:rsidRDefault="004A3C8A" w:rsidP="00F66358">
      <w:pPr>
        <w:jc w:val="center"/>
        <w:rPr>
          <w:b/>
          <w:color w:val="000000" w:themeColor="text1"/>
          <w:sz w:val="28"/>
          <w:szCs w:val="28"/>
        </w:rPr>
      </w:pPr>
    </w:p>
    <w:tbl>
      <w:tblPr>
        <w:tblStyle w:val="TableGrid"/>
        <w:tblW w:w="5000" w:type="pct"/>
        <w:tblLayout w:type="fixed"/>
        <w:tblLook w:val="04A0" w:firstRow="1" w:lastRow="0" w:firstColumn="1" w:lastColumn="0" w:noHBand="0" w:noVBand="1"/>
      </w:tblPr>
      <w:tblGrid>
        <w:gridCol w:w="734"/>
        <w:gridCol w:w="3061"/>
        <w:gridCol w:w="5492"/>
      </w:tblGrid>
      <w:tr w:rsidR="00A72420" w:rsidRPr="00F66358" w:rsidTr="00F66358">
        <w:trPr>
          <w:trHeight w:val="427"/>
        </w:trPr>
        <w:tc>
          <w:tcPr>
            <w:tcW w:w="5000" w:type="pct"/>
            <w:gridSpan w:val="3"/>
          </w:tcPr>
          <w:p w:rsidR="00782D13" w:rsidRDefault="00EA3407">
            <w:pPr>
              <w:pStyle w:val="ListParagraph"/>
              <w:numPr>
                <w:ilvl w:val="0"/>
                <w:numId w:val="4"/>
              </w:numPr>
              <w:ind w:hanging="371"/>
              <w:jc w:val="center"/>
              <w:rPr>
                <w:b/>
                <w:color w:val="000000" w:themeColor="text1"/>
                <w:sz w:val="28"/>
                <w:szCs w:val="28"/>
              </w:rPr>
            </w:pPr>
            <w:r w:rsidRPr="00EA3407">
              <w:rPr>
                <w:b/>
                <w:color w:val="000000" w:themeColor="text1"/>
                <w:sz w:val="28"/>
                <w:szCs w:val="28"/>
              </w:rPr>
              <w:t>Tiesību akta projekta izstrādes nepieciešamība</w:t>
            </w:r>
          </w:p>
        </w:tc>
      </w:tr>
      <w:tr w:rsidR="00A72420" w:rsidRPr="00F66358" w:rsidTr="00F66358">
        <w:tc>
          <w:tcPr>
            <w:tcW w:w="395" w:type="pct"/>
          </w:tcPr>
          <w:p w:rsidR="00782D13" w:rsidRDefault="00EA3407">
            <w:pPr>
              <w:jc w:val="center"/>
              <w:rPr>
                <w:color w:val="000000" w:themeColor="text1"/>
                <w:sz w:val="28"/>
                <w:szCs w:val="28"/>
              </w:rPr>
            </w:pPr>
            <w:r w:rsidRPr="00EA3407">
              <w:rPr>
                <w:color w:val="000000" w:themeColor="text1"/>
                <w:sz w:val="28"/>
                <w:szCs w:val="28"/>
              </w:rPr>
              <w:t>1.</w:t>
            </w:r>
          </w:p>
          <w:p w:rsidR="00782D13" w:rsidRDefault="00782D13">
            <w:pPr>
              <w:jc w:val="center"/>
              <w:rPr>
                <w:color w:val="000000" w:themeColor="text1"/>
                <w:sz w:val="28"/>
                <w:szCs w:val="28"/>
              </w:rPr>
            </w:pPr>
          </w:p>
          <w:p w:rsidR="00782D13" w:rsidRDefault="00782D13">
            <w:pPr>
              <w:jc w:val="center"/>
              <w:rPr>
                <w:color w:val="000000" w:themeColor="text1"/>
                <w:sz w:val="28"/>
                <w:szCs w:val="28"/>
              </w:rPr>
            </w:pPr>
          </w:p>
        </w:tc>
        <w:tc>
          <w:tcPr>
            <w:tcW w:w="1648" w:type="pct"/>
          </w:tcPr>
          <w:p w:rsidR="00A72420" w:rsidRPr="00F66358" w:rsidRDefault="00EA3407" w:rsidP="00F66358">
            <w:pPr>
              <w:jc w:val="both"/>
              <w:rPr>
                <w:color w:val="000000" w:themeColor="text1"/>
                <w:sz w:val="28"/>
                <w:szCs w:val="28"/>
              </w:rPr>
            </w:pPr>
            <w:r w:rsidRPr="00EA3407">
              <w:rPr>
                <w:color w:val="000000" w:themeColor="text1"/>
                <w:sz w:val="28"/>
                <w:szCs w:val="28"/>
              </w:rPr>
              <w:t>Pamatojums</w:t>
            </w:r>
          </w:p>
        </w:tc>
        <w:tc>
          <w:tcPr>
            <w:tcW w:w="2957" w:type="pct"/>
          </w:tcPr>
          <w:p w:rsidR="00782D13" w:rsidRDefault="00EA3407">
            <w:pPr>
              <w:jc w:val="both"/>
              <w:outlineLvl w:val="0"/>
              <w:rPr>
                <w:color w:val="000000" w:themeColor="text1"/>
                <w:sz w:val="28"/>
                <w:szCs w:val="28"/>
              </w:rPr>
            </w:pPr>
            <w:r w:rsidRPr="00EA3407">
              <w:rPr>
                <w:color w:val="000000" w:themeColor="text1"/>
                <w:sz w:val="28"/>
                <w:szCs w:val="28"/>
              </w:rPr>
              <w:t>Ministru kabineta noteikumu projekts „Grozījums Ministru kabineta 2010.gada 28.decembra noteikumos Nr.1238 „</w:t>
            </w:r>
            <w:hyperlink r:id="rId10" w:tgtFrame="_blank" w:history="1">
              <w:r w:rsidRPr="00EA3407">
                <w:rPr>
                  <w:color w:val="000000" w:themeColor="text1"/>
                  <w:sz w:val="28"/>
                  <w:szCs w:val="28"/>
                </w:rPr>
                <w:t>Noteikumi par valsts nodevu par apraides atļaujas izsniegšanu, retranslācijas atļaujas izsniegšanu un tāda pakalpojumu sniedzēja reģistrāciju, kas sniedz elektronisko plašsaziņas līdzekļu pakalpojumus pēc pieprasījuma</w:t>
              </w:r>
            </w:hyperlink>
            <w:r w:rsidRPr="00EA3407">
              <w:rPr>
                <w:color w:val="000000" w:themeColor="text1"/>
                <w:sz w:val="28"/>
                <w:szCs w:val="28"/>
              </w:rPr>
              <w:t>” (turpmāk – Projekts) izstrādāts saskaņā ar Elektronisko plašsaziņas līdzekļu likuma, 18.panta trešo daļu, 19.panta otru daļu un 22.panta otru daļu.</w:t>
            </w:r>
          </w:p>
        </w:tc>
      </w:tr>
      <w:tr w:rsidR="00A72420" w:rsidRPr="00F66358" w:rsidTr="00F66358">
        <w:trPr>
          <w:trHeight w:val="4521"/>
        </w:trPr>
        <w:tc>
          <w:tcPr>
            <w:tcW w:w="395" w:type="pct"/>
          </w:tcPr>
          <w:p w:rsidR="00782D13" w:rsidRDefault="00EA3407">
            <w:pPr>
              <w:jc w:val="center"/>
              <w:rPr>
                <w:color w:val="000000" w:themeColor="text1"/>
                <w:sz w:val="28"/>
                <w:szCs w:val="28"/>
              </w:rPr>
            </w:pPr>
            <w:r w:rsidRPr="00EA3407">
              <w:rPr>
                <w:color w:val="000000" w:themeColor="text1"/>
                <w:sz w:val="28"/>
                <w:szCs w:val="28"/>
              </w:rPr>
              <w:t>2.</w:t>
            </w:r>
          </w:p>
        </w:tc>
        <w:tc>
          <w:tcPr>
            <w:tcW w:w="1648" w:type="pct"/>
          </w:tcPr>
          <w:p w:rsidR="00A72420" w:rsidRPr="00F66358" w:rsidRDefault="00EA3407" w:rsidP="00F66358">
            <w:pPr>
              <w:jc w:val="both"/>
              <w:rPr>
                <w:color w:val="000000" w:themeColor="text1"/>
                <w:sz w:val="28"/>
                <w:szCs w:val="28"/>
              </w:rPr>
            </w:pPr>
            <w:r w:rsidRPr="00EA3407">
              <w:rPr>
                <w:color w:val="000000" w:themeColor="text1"/>
                <w:sz w:val="28"/>
                <w:szCs w:val="28"/>
              </w:rPr>
              <w:t>Pašreizējā situācija un problēmas, kuru risināšanai tiesību akta projekts izstrādāts, tiesiskā regulējuma mērķis un būtība</w:t>
            </w:r>
          </w:p>
        </w:tc>
        <w:tc>
          <w:tcPr>
            <w:tcW w:w="2957" w:type="pct"/>
          </w:tcPr>
          <w:p w:rsidR="00782D13" w:rsidRDefault="00EA3407">
            <w:pPr>
              <w:jc w:val="both"/>
              <w:rPr>
                <w:color w:val="000000" w:themeColor="text1"/>
                <w:sz w:val="28"/>
                <w:szCs w:val="28"/>
              </w:rPr>
            </w:pPr>
            <w:r w:rsidRPr="00EA3407">
              <w:rPr>
                <w:color w:val="000000" w:themeColor="text1"/>
                <w:sz w:val="28"/>
                <w:szCs w:val="28"/>
              </w:rPr>
              <w:t>Šobrīd Ministru kabineta 2010.gada 28.decembra noteikumos Nr.1238 „</w:t>
            </w:r>
            <w:hyperlink r:id="rId11" w:tgtFrame="_blank" w:history="1">
              <w:r w:rsidRPr="00EA3407">
                <w:rPr>
                  <w:color w:val="000000" w:themeColor="text1"/>
                  <w:sz w:val="28"/>
                  <w:szCs w:val="28"/>
                </w:rPr>
                <w:t>Noteikumi par valsts nodevu par apraides atļaujas izsniegšanu, retranslācijas atļaujas izsniegšanu un tāda pakalpojumu sniedzēja reģistrāciju, kas sniedz elektronisko plašsaziņas līdzekļu pakalpojumus pēc pieprasījuma</w:t>
              </w:r>
            </w:hyperlink>
            <w:r w:rsidRPr="00EA3407">
              <w:rPr>
                <w:color w:val="000000" w:themeColor="text1"/>
                <w:sz w:val="28"/>
                <w:szCs w:val="28"/>
              </w:rPr>
              <w:t xml:space="preserve">” valsts nodevas apmērs un tā maksāšanas kārtība ir noteikti attiecībā uz apraides atļaujas izsniegšanu elektroniskajiem plašsaziņas līdzekļiem, kuri veido radio programmas, izmantojot frekvenču resursu. Attīstoties tehnoloģijām, aizvien vairāk elektroniskie plašsaziņas līdzekļi savu programmu izplatīšanai izmanto interneta vidi. </w:t>
            </w:r>
          </w:p>
          <w:p w:rsidR="00782D13" w:rsidRDefault="00EA3407">
            <w:pPr>
              <w:jc w:val="both"/>
              <w:rPr>
                <w:color w:val="000000" w:themeColor="text1"/>
                <w:sz w:val="28"/>
                <w:szCs w:val="28"/>
              </w:rPr>
            </w:pPr>
            <w:r w:rsidRPr="00EA3407">
              <w:rPr>
                <w:color w:val="000000" w:themeColor="text1"/>
                <w:sz w:val="28"/>
                <w:szCs w:val="28"/>
              </w:rPr>
              <w:t xml:space="preserve">Nacionālā elektronisko plašsaziņas līdzekļu padome (turpmāk – NEPLP) kā elektronisko plašsaziņas līdzekļu nozari uzraugošā iestāde ir saskārusies ar gadījumiem, kad nepieciešams reģistrēt apraides atļauju radio programmas izplatīšanai interneta vidē. Galvenā problēma ir tāda, ka pašreiz Ministru </w:t>
            </w:r>
            <w:r w:rsidRPr="00EA3407">
              <w:rPr>
                <w:color w:val="000000" w:themeColor="text1"/>
                <w:sz w:val="28"/>
                <w:szCs w:val="28"/>
              </w:rPr>
              <w:lastRenderedPageBreak/>
              <w:t>kabineta 2010.gada 28.decembra noteikum</w:t>
            </w:r>
            <w:r w:rsidR="00F66358">
              <w:rPr>
                <w:color w:val="000000" w:themeColor="text1"/>
                <w:sz w:val="28"/>
                <w:szCs w:val="28"/>
              </w:rPr>
              <w:t>i</w:t>
            </w:r>
            <w:r w:rsidRPr="00EA3407">
              <w:rPr>
                <w:color w:val="000000" w:themeColor="text1"/>
                <w:sz w:val="28"/>
                <w:szCs w:val="28"/>
              </w:rPr>
              <w:t xml:space="preserve"> Nr.1238 „</w:t>
            </w:r>
            <w:hyperlink r:id="rId12" w:tgtFrame="_blank" w:history="1">
              <w:r w:rsidRPr="00EA3407">
                <w:rPr>
                  <w:color w:val="000000" w:themeColor="text1"/>
                  <w:sz w:val="28"/>
                  <w:szCs w:val="28"/>
                </w:rPr>
                <w:t>Noteikumi par valsts nodevu par apraides atļaujas izsniegšanu, retranslācijas atļaujas izsniegšanu un tāda pakalpojumu sniedzēja reģistrāciju, kas sniedz elektronisko plašsaziņas līdzekļu pakalpojumus pēc pieprasījuma</w:t>
              </w:r>
            </w:hyperlink>
            <w:r w:rsidRPr="00EA3407">
              <w:rPr>
                <w:color w:val="000000" w:themeColor="text1"/>
                <w:sz w:val="28"/>
                <w:szCs w:val="28"/>
              </w:rPr>
              <w:t xml:space="preserve">” neparedz valsts nodevu un tās maksāšanas kārtību elektroniskajiem plašsaziņas līdzekļiem, kuri veido un izplata radio programmas tikai interneta vidē.  </w:t>
            </w:r>
          </w:p>
          <w:p w:rsidR="00782D13" w:rsidRDefault="00EA3407">
            <w:pPr>
              <w:jc w:val="both"/>
              <w:rPr>
                <w:color w:val="000000" w:themeColor="text1"/>
                <w:sz w:val="28"/>
                <w:szCs w:val="28"/>
              </w:rPr>
            </w:pPr>
            <w:r w:rsidRPr="00EA3407">
              <w:rPr>
                <w:color w:val="000000" w:themeColor="text1"/>
                <w:sz w:val="28"/>
                <w:szCs w:val="28"/>
              </w:rPr>
              <w:t>Projekta mērķis ir nodrošināt tiesiskā regulējuma noteikšanu attiecībā uz valsts nodevu un tās maksāšanas kārtību attiecībā uz tiem elektroniskajiem plašsaziņas līdzekļiem, kuri veido un izplata radio programmas tikai interneta vidē.</w:t>
            </w:r>
          </w:p>
        </w:tc>
      </w:tr>
      <w:tr w:rsidR="00A72420" w:rsidRPr="00F66358" w:rsidTr="00F66358">
        <w:tc>
          <w:tcPr>
            <w:tcW w:w="395" w:type="pct"/>
          </w:tcPr>
          <w:p w:rsidR="00782D13" w:rsidRDefault="00EA3407">
            <w:pPr>
              <w:jc w:val="center"/>
              <w:rPr>
                <w:color w:val="000000" w:themeColor="text1"/>
                <w:sz w:val="28"/>
                <w:szCs w:val="28"/>
              </w:rPr>
            </w:pPr>
            <w:r w:rsidRPr="00EA3407">
              <w:rPr>
                <w:color w:val="000000" w:themeColor="text1"/>
                <w:sz w:val="28"/>
                <w:szCs w:val="28"/>
              </w:rPr>
              <w:lastRenderedPageBreak/>
              <w:t>3.</w:t>
            </w:r>
          </w:p>
        </w:tc>
        <w:tc>
          <w:tcPr>
            <w:tcW w:w="1648" w:type="pct"/>
          </w:tcPr>
          <w:p w:rsidR="00A72420" w:rsidRPr="00F66358" w:rsidRDefault="00EA3407" w:rsidP="00F66358">
            <w:pPr>
              <w:jc w:val="both"/>
              <w:rPr>
                <w:color w:val="000000" w:themeColor="text1"/>
                <w:sz w:val="28"/>
                <w:szCs w:val="28"/>
              </w:rPr>
            </w:pPr>
            <w:r w:rsidRPr="00EA3407">
              <w:rPr>
                <w:color w:val="000000" w:themeColor="text1"/>
                <w:sz w:val="28"/>
                <w:szCs w:val="28"/>
              </w:rPr>
              <w:t>Projekta izstrādē iesaistītās institūcijas</w:t>
            </w:r>
          </w:p>
        </w:tc>
        <w:tc>
          <w:tcPr>
            <w:tcW w:w="2957" w:type="pct"/>
          </w:tcPr>
          <w:p w:rsidR="00782D13" w:rsidRDefault="00EA3407">
            <w:pPr>
              <w:jc w:val="both"/>
              <w:rPr>
                <w:color w:val="000000" w:themeColor="text1"/>
                <w:sz w:val="28"/>
                <w:szCs w:val="28"/>
              </w:rPr>
            </w:pPr>
            <w:r w:rsidRPr="00EA3407">
              <w:rPr>
                <w:color w:val="000000" w:themeColor="text1"/>
                <w:sz w:val="28"/>
                <w:szCs w:val="28"/>
              </w:rPr>
              <w:t>Kultūras ministrija un Nacionālā elektronisko plašsaziņas līdzekļu padome.</w:t>
            </w:r>
          </w:p>
        </w:tc>
      </w:tr>
      <w:tr w:rsidR="00A72420" w:rsidRPr="00F66358" w:rsidTr="00F66358">
        <w:trPr>
          <w:trHeight w:val="421"/>
        </w:trPr>
        <w:tc>
          <w:tcPr>
            <w:tcW w:w="395" w:type="pct"/>
          </w:tcPr>
          <w:p w:rsidR="00782D13" w:rsidRDefault="00EA3407">
            <w:pPr>
              <w:jc w:val="center"/>
              <w:rPr>
                <w:color w:val="000000" w:themeColor="text1"/>
                <w:sz w:val="28"/>
                <w:szCs w:val="28"/>
              </w:rPr>
            </w:pPr>
            <w:r w:rsidRPr="00EA3407">
              <w:rPr>
                <w:color w:val="000000" w:themeColor="text1"/>
                <w:sz w:val="28"/>
                <w:szCs w:val="28"/>
              </w:rPr>
              <w:t>4.</w:t>
            </w:r>
          </w:p>
        </w:tc>
        <w:tc>
          <w:tcPr>
            <w:tcW w:w="1648" w:type="pct"/>
          </w:tcPr>
          <w:p w:rsidR="00A72420" w:rsidRPr="00F66358" w:rsidRDefault="00EA3407" w:rsidP="00F66358">
            <w:pPr>
              <w:jc w:val="both"/>
              <w:rPr>
                <w:color w:val="000000" w:themeColor="text1"/>
                <w:sz w:val="28"/>
                <w:szCs w:val="28"/>
              </w:rPr>
            </w:pPr>
            <w:r w:rsidRPr="00EA3407">
              <w:rPr>
                <w:color w:val="000000" w:themeColor="text1"/>
                <w:sz w:val="28"/>
                <w:szCs w:val="28"/>
              </w:rPr>
              <w:t>Cita informācija</w:t>
            </w:r>
          </w:p>
        </w:tc>
        <w:tc>
          <w:tcPr>
            <w:tcW w:w="2957" w:type="pct"/>
          </w:tcPr>
          <w:p w:rsidR="00782D13" w:rsidRDefault="00EA3407">
            <w:pPr>
              <w:jc w:val="both"/>
              <w:rPr>
                <w:color w:val="000000" w:themeColor="text1"/>
                <w:sz w:val="28"/>
                <w:szCs w:val="28"/>
              </w:rPr>
            </w:pPr>
            <w:r w:rsidRPr="00EA3407">
              <w:rPr>
                <w:color w:val="000000" w:themeColor="text1"/>
                <w:sz w:val="28"/>
                <w:szCs w:val="28"/>
              </w:rPr>
              <w:t>Nav.</w:t>
            </w:r>
          </w:p>
        </w:tc>
      </w:tr>
    </w:tbl>
    <w:p w:rsidR="004A3C8A" w:rsidRPr="00F66358" w:rsidRDefault="004A3C8A" w:rsidP="00F66358">
      <w:pPr>
        <w:jc w:val="both"/>
        <w:rPr>
          <w:b/>
          <w:color w:val="000000" w:themeColor="text1"/>
          <w:sz w:val="28"/>
          <w:szCs w:val="28"/>
        </w:rPr>
      </w:pPr>
    </w:p>
    <w:tbl>
      <w:tblPr>
        <w:tblStyle w:val="TableGrid"/>
        <w:tblW w:w="5000" w:type="pct"/>
        <w:jc w:val="center"/>
        <w:tblLayout w:type="fixed"/>
        <w:tblLook w:val="04A0" w:firstRow="1" w:lastRow="0" w:firstColumn="1" w:lastColumn="0" w:noHBand="0" w:noVBand="1"/>
      </w:tblPr>
      <w:tblGrid>
        <w:gridCol w:w="675"/>
        <w:gridCol w:w="3120"/>
        <w:gridCol w:w="5492"/>
      </w:tblGrid>
      <w:tr w:rsidR="00890D44" w:rsidRPr="00F66358" w:rsidTr="00F66358">
        <w:trPr>
          <w:jc w:val="center"/>
        </w:trPr>
        <w:tc>
          <w:tcPr>
            <w:tcW w:w="5000" w:type="pct"/>
            <w:gridSpan w:val="3"/>
          </w:tcPr>
          <w:p w:rsidR="00890D44" w:rsidRPr="00F66358" w:rsidRDefault="00EA3407" w:rsidP="00F66358">
            <w:pPr>
              <w:jc w:val="center"/>
              <w:rPr>
                <w:b/>
                <w:color w:val="000000" w:themeColor="text1"/>
                <w:sz w:val="28"/>
                <w:szCs w:val="28"/>
              </w:rPr>
            </w:pPr>
            <w:r w:rsidRPr="00EA3407">
              <w:rPr>
                <w:b/>
                <w:color w:val="000000" w:themeColor="text1"/>
                <w:sz w:val="28"/>
                <w:szCs w:val="28"/>
              </w:rPr>
              <w:t>II Tiesību akta projekta ietekme uz sabiedrību, tautsaimniecības attīstību un administratīvo slogu</w:t>
            </w:r>
          </w:p>
        </w:tc>
      </w:tr>
      <w:tr w:rsidR="00F66358" w:rsidRPr="00F66358" w:rsidTr="00F66358">
        <w:trPr>
          <w:jc w:val="center"/>
        </w:trPr>
        <w:tc>
          <w:tcPr>
            <w:tcW w:w="363" w:type="pct"/>
          </w:tcPr>
          <w:p w:rsidR="00782D13" w:rsidRDefault="00F66358">
            <w:pPr>
              <w:pStyle w:val="ListParagraph"/>
              <w:tabs>
                <w:tab w:val="left" w:pos="142"/>
              </w:tabs>
              <w:ind w:left="142" w:hanging="142"/>
              <w:jc w:val="center"/>
              <w:rPr>
                <w:color w:val="000000" w:themeColor="text1"/>
                <w:sz w:val="28"/>
                <w:szCs w:val="28"/>
              </w:rPr>
            </w:pPr>
            <w:r>
              <w:rPr>
                <w:color w:val="000000" w:themeColor="text1"/>
                <w:sz w:val="28"/>
                <w:szCs w:val="28"/>
              </w:rPr>
              <w:t>1.</w:t>
            </w:r>
          </w:p>
        </w:tc>
        <w:tc>
          <w:tcPr>
            <w:tcW w:w="1680" w:type="pct"/>
          </w:tcPr>
          <w:p w:rsidR="000A0F98" w:rsidRPr="00F66358" w:rsidRDefault="00EA3407" w:rsidP="00F66358">
            <w:pPr>
              <w:jc w:val="both"/>
              <w:rPr>
                <w:color w:val="000000" w:themeColor="text1"/>
                <w:sz w:val="28"/>
                <w:szCs w:val="28"/>
              </w:rPr>
            </w:pPr>
            <w:r w:rsidRPr="00EA3407">
              <w:rPr>
                <w:color w:val="000000" w:themeColor="text1"/>
                <w:sz w:val="28"/>
                <w:szCs w:val="28"/>
              </w:rPr>
              <w:t>Sabiedrības mērķgrupa, kuras tiesiskais regulējums ietekmē vai varētu ietekmēt</w:t>
            </w:r>
          </w:p>
        </w:tc>
        <w:tc>
          <w:tcPr>
            <w:tcW w:w="2957" w:type="pct"/>
          </w:tcPr>
          <w:p w:rsidR="00782D13" w:rsidRDefault="00EA3407">
            <w:pPr>
              <w:jc w:val="both"/>
              <w:rPr>
                <w:color w:val="000000" w:themeColor="text1"/>
                <w:sz w:val="28"/>
                <w:szCs w:val="28"/>
              </w:rPr>
            </w:pPr>
            <w:r w:rsidRPr="00EA3407">
              <w:rPr>
                <w:color w:val="000000" w:themeColor="text1"/>
                <w:sz w:val="28"/>
                <w:szCs w:val="28"/>
              </w:rPr>
              <w:t>Elektroniskie plašsaziņas līdzekļi, kuri izplata radio programmas tikai interneta vidē.</w:t>
            </w:r>
          </w:p>
        </w:tc>
      </w:tr>
      <w:tr w:rsidR="00F66358" w:rsidRPr="00F66358" w:rsidTr="00F66358">
        <w:trPr>
          <w:trHeight w:val="1806"/>
          <w:jc w:val="center"/>
        </w:trPr>
        <w:tc>
          <w:tcPr>
            <w:tcW w:w="363" w:type="pct"/>
          </w:tcPr>
          <w:p w:rsidR="00782D13" w:rsidRDefault="00EA3407">
            <w:pPr>
              <w:jc w:val="center"/>
              <w:rPr>
                <w:color w:val="000000" w:themeColor="text1"/>
                <w:sz w:val="28"/>
                <w:szCs w:val="28"/>
              </w:rPr>
            </w:pPr>
            <w:r w:rsidRPr="00EA3407">
              <w:rPr>
                <w:color w:val="000000" w:themeColor="text1"/>
                <w:sz w:val="28"/>
                <w:szCs w:val="28"/>
              </w:rPr>
              <w:t>2.</w:t>
            </w:r>
          </w:p>
        </w:tc>
        <w:tc>
          <w:tcPr>
            <w:tcW w:w="1680" w:type="pct"/>
          </w:tcPr>
          <w:p w:rsidR="000A0F98" w:rsidRPr="00F66358" w:rsidRDefault="00EA3407" w:rsidP="00F66358">
            <w:pPr>
              <w:jc w:val="both"/>
              <w:rPr>
                <w:color w:val="000000" w:themeColor="text1"/>
                <w:sz w:val="28"/>
                <w:szCs w:val="28"/>
              </w:rPr>
            </w:pPr>
            <w:r w:rsidRPr="00EA3407">
              <w:rPr>
                <w:color w:val="000000" w:themeColor="text1"/>
                <w:sz w:val="28"/>
                <w:szCs w:val="28"/>
              </w:rPr>
              <w:t>Tiesiskā regulējuma ietekme uz tautsaimniecību un administratīvo slogu</w:t>
            </w:r>
          </w:p>
        </w:tc>
        <w:tc>
          <w:tcPr>
            <w:tcW w:w="2957" w:type="pct"/>
          </w:tcPr>
          <w:p w:rsidR="00782D13" w:rsidRDefault="00EA3407">
            <w:pPr>
              <w:jc w:val="both"/>
              <w:rPr>
                <w:color w:val="000000" w:themeColor="text1"/>
                <w:sz w:val="28"/>
                <w:szCs w:val="28"/>
              </w:rPr>
            </w:pPr>
            <w:r w:rsidRPr="00EA3407">
              <w:rPr>
                <w:color w:val="000000" w:themeColor="text1"/>
                <w:sz w:val="28"/>
                <w:szCs w:val="28"/>
              </w:rPr>
              <w:t>Ņemot vērā to, ka elektroniskie plašsaziņas līdzekļi, kuri izplata radio programmas tikai interneta vidē, neizmanto frekvenču resursu, kas ir valsts ierobežotais resurss, tiktu veicināta šādu elektronisko plašsaziņas līdzekļu reģistrācija.</w:t>
            </w:r>
          </w:p>
        </w:tc>
      </w:tr>
      <w:tr w:rsidR="00F66358" w:rsidRPr="00F66358" w:rsidTr="00F66358">
        <w:trPr>
          <w:jc w:val="center"/>
        </w:trPr>
        <w:tc>
          <w:tcPr>
            <w:tcW w:w="363" w:type="pct"/>
          </w:tcPr>
          <w:p w:rsidR="00782D13" w:rsidRDefault="00EA3407">
            <w:pPr>
              <w:jc w:val="center"/>
              <w:rPr>
                <w:color w:val="000000" w:themeColor="text1"/>
                <w:sz w:val="28"/>
                <w:szCs w:val="28"/>
              </w:rPr>
            </w:pPr>
            <w:r w:rsidRPr="00EA3407">
              <w:rPr>
                <w:color w:val="000000" w:themeColor="text1"/>
                <w:sz w:val="28"/>
                <w:szCs w:val="28"/>
              </w:rPr>
              <w:t>3.</w:t>
            </w:r>
          </w:p>
        </w:tc>
        <w:tc>
          <w:tcPr>
            <w:tcW w:w="1680" w:type="pct"/>
          </w:tcPr>
          <w:p w:rsidR="00890D44" w:rsidRPr="00F66358" w:rsidRDefault="00EA3407" w:rsidP="00F66358">
            <w:pPr>
              <w:jc w:val="both"/>
              <w:rPr>
                <w:color w:val="000000" w:themeColor="text1"/>
                <w:sz w:val="28"/>
                <w:szCs w:val="28"/>
              </w:rPr>
            </w:pPr>
            <w:r w:rsidRPr="00EA3407">
              <w:rPr>
                <w:color w:val="000000" w:themeColor="text1"/>
                <w:sz w:val="28"/>
                <w:szCs w:val="28"/>
              </w:rPr>
              <w:t>Administratīvo izmaksu monetārs novērtējums</w:t>
            </w:r>
          </w:p>
        </w:tc>
        <w:tc>
          <w:tcPr>
            <w:tcW w:w="2957" w:type="pct"/>
          </w:tcPr>
          <w:p w:rsidR="00782D13" w:rsidRDefault="00EA3407">
            <w:pPr>
              <w:jc w:val="both"/>
              <w:rPr>
                <w:color w:val="000000" w:themeColor="text1"/>
                <w:sz w:val="28"/>
                <w:szCs w:val="28"/>
              </w:rPr>
            </w:pPr>
            <w:r w:rsidRPr="00EA3407">
              <w:rPr>
                <w:color w:val="000000" w:themeColor="text1"/>
                <w:sz w:val="28"/>
                <w:szCs w:val="28"/>
              </w:rPr>
              <w:t xml:space="preserve">Nav. </w:t>
            </w:r>
          </w:p>
        </w:tc>
      </w:tr>
      <w:tr w:rsidR="00F66358" w:rsidRPr="00F66358" w:rsidTr="00F66358">
        <w:trPr>
          <w:trHeight w:val="497"/>
          <w:jc w:val="center"/>
        </w:trPr>
        <w:tc>
          <w:tcPr>
            <w:tcW w:w="363" w:type="pct"/>
          </w:tcPr>
          <w:p w:rsidR="00782D13" w:rsidRDefault="00F66358">
            <w:pPr>
              <w:jc w:val="center"/>
              <w:rPr>
                <w:color w:val="000000" w:themeColor="text1"/>
                <w:sz w:val="28"/>
                <w:szCs w:val="28"/>
              </w:rPr>
            </w:pPr>
            <w:r>
              <w:rPr>
                <w:color w:val="000000" w:themeColor="text1"/>
                <w:sz w:val="28"/>
                <w:szCs w:val="28"/>
              </w:rPr>
              <w:t>4</w:t>
            </w:r>
            <w:r w:rsidR="00EA3407" w:rsidRPr="00EA3407">
              <w:rPr>
                <w:color w:val="000000" w:themeColor="text1"/>
                <w:sz w:val="28"/>
                <w:szCs w:val="28"/>
              </w:rPr>
              <w:t>.</w:t>
            </w:r>
          </w:p>
        </w:tc>
        <w:tc>
          <w:tcPr>
            <w:tcW w:w="1680" w:type="pct"/>
          </w:tcPr>
          <w:p w:rsidR="00890D44" w:rsidRPr="00F66358" w:rsidRDefault="00EA3407" w:rsidP="00F66358">
            <w:pPr>
              <w:keepNext/>
              <w:spacing w:before="240" w:after="120"/>
              <w:jc w:val="both"/>
              <w:rPr>
                <w:color w:val="000000" w:themeColor="text1"/>
                <w:sz w:val="28"/>
                <w:szCs w:val="28"/>
              </w:rPr>
            </w:pPr>
            <w:r w:rsidRPr="00EA3407">
              <w:rPr>
                <w:color w:val="000000" w:themeColor="text1"/>
                <w:sz w:val="28"/>
                <w:szCs w:val="28"/>
              </w:rPr>
              <w:t>Cita informācija</w:t>
            </w:r>
          </w:p>
        </w:tc>
        <w:tc>
          <w:tcPr>
            <w:tcW w:w="2957" w:type="pct"/>
          </w:tcPr>
          <w:p w:rsidR="00782D13" w:rsidRDefault="00EA3407">
            <w:pPr>
              <w:jc w:val="both"/>
              <w:rPr>
                <w:color w:val="000000" w:themeColor="text1"/>
                <w:sz w:val="28"/>
                <w:szCs w:val="28"/>
              </w:rPr>
            </w:pPr>
            <w:r w:rsidRPr="00EA3407">
              <w:rPr>
                <w:color w:val="000000" w:themeColor="text1"/>
                <w:sz w:val="28"/>
                <w:szCs w:val="28"/>
              </w:rPr>
              <w:t xml:space="preserve">Nav. </w:t>
            </w:r>
          </w:p>
        </w:tc>
      </w:tr>
    </w:tbl>
    <w:p w:rsidR="00DC36E9" w:rsidRPr="00F66358" w:rsidRDefault="00DC36E9" w:rsidP="00F66358">
      <w:pPr>
        <w:ind w:firstLine="720"/>
        <w:jc w:val="both"/>
        <w:rPr>
          <w:color w:val="000000" w:themeColor="text1"/>
          <w:sz w:val="28"/>
          <w:szCs w:val="28"/>
        </w:rPr>
      </w:pPr>
    </w:p>
    <w:p w:rsidR="00782D13" w:rsidRDefault="00EA3407">
      <w:pPr>
        <w:pStyle w:val="naisf"/>
        <w:spacing w:before="0" w:after="0"/>
        <w:ind w:firstLine="0"/>
        <w:rPr>
          <w:i/>
          <w:color w:val="000000" w:themeColor="text1"/>
          <w:sz w:val="28"/>
          <w:szCs w:val="28"/>
        </w:rPr>
      </w:pPr>
      <w:r w:rsidRPr="00EA3407">
        <w:rPr>
          <w:i/>
          <w:color w:val="000000" w:themeColor="text1"/>
          <w:sz w:val="28"/>
          <w:szCs w:val="28"/>
        </w:rPr>
        <w:t>Anotācijas III, IV un V sadaļa –</w:t>
      </w:r>
      <w:r w:rsidR="00F66358">
        <w:rPr>
          <w:i/>
          <w:color w:val="000000" w:themeColor="text1"/>
          <w:sz w:val="28"/>
          <w:szCs w:val="28"/>
        </w:rPr>
        <w:t xml:space="preserve"> </w:t>
      </w:r>
      <w:r w:rsidRPr="00EA3407">
        <w:rPr>
          <w:i/>
          <w:color w:val="000000" w:themeColor="text1"/>
          <w:sz w:val="28"/>
          <w:szCs w:val="28"/>
        </w:rPr>
        <w:t>projekts šīs jomas neskar.</w:t>
      </w:r>
    </w:p>
    <w:p w:rsidR="00782D13" w:rsidRDefault="00782D13">
      <w:pPr>
        <w:jc w:val="both"/>
        <w:rPr>
          <w:b/>
          <w:color w:val="000000" w:themeColor="text1"/>
          <w:sz w:val="28"/>
          <w:szCs w:val="28"/>
        </w:rPr>
      </w:pPr>
    </w:p>
    <w:tbl>
      <w:tblPr>
        <w:tblStyle w:val="TableGrid"/>
        <w:tblW w:w="5000" w:type="pct"/>
        <w:tblLayout w:type="fixed"/>
        <w:tblLook w:val="04A0" w:firstRow="1" w:lastRow="0" w:firstColumn="1" w:lastColumn="0" w:noHBand="0" w:noVBand="1"/>
      </w:tblPr>
      <w:tblGrid>
        <w:gridCol w:w="615"/>
        <w:gridCol w:w="3369"/>
        <w:gridCol w:w="5303"/>
      </w:tblGrid>
      <w:tr w:rsidR="00B158AC" w:rsidRPr="00F66358" w:rsidTr="00F66358">
        <w:tc>
          <w:tcPr>
            <w:tcW w:w="5000" w:type="pct"/>
            <w:gridSpan w:val="3"/>
          </w:tcPr>
          <w:p w:rsidR="00782D13" w:rsidRDefault="00EA3407">
            <w:pPr>
              <w:jc w:val="center"/>
              <w:rPr>
                <w:b/>
                <w:color w:val="000000" w:themeColor="text1"/>
                <w:sz w:val="28"/>
                <w:szCs w:val="28"/>
              </w:rPr>
            </w:pPr>
            <w:r w:rsidRPr="00EA3407">
              <w:rPr>
                <w:b/>
                <w:color w:val="000000" w:themeColor="text1"/>
                <w:sz w:val="28"/>
                <w:szCs w:val="28"/>
              </w:rPr>
              <w:t>VI. Sabiedrības līdzdalība un šīs līdzdalības rezultāti</w:t>
            </w:r>
          </w:p>
        </w:tc>
      </w:tr>
      <w:tr w:rsidR="00E319E6" w:rsidRPr="00F66358" w:rsidTr="00F66358">
        <w:tc>
          <w:tcPr>
            <w:tcW w:w="331" w:type="pct"/>
          </w:tcPr>
          <w:p w:rsidR="00782D13" w:rsidRDefault="00EA3407">
            <w:pPr>
              <w:jc w:val="center"/>
              <w:rPr>
                <w:color w:val="000000" w:themeColor="text1"/>
                <w:sz w:val="28"/>
                <w:szCs w:val="28"/>
              </w:rPr>
            </w:pPr>
            <w:r w:rsidRPr="00EA3407">
              <w:rPr>
                <w:color w:val="000000" w:themeColor="text1"/>
                <w:sz w:val="28"/>
                <w:szCs w:val="28"/>
              </w:rPr>
              <w:lastRenderedPageBreak/>
              <w:t>1.</w:t>
            </w:r>
          </w:p>
        </w:tc>
        <w:tc>
          <w:tcPr>
            <w:tcW w:w="1814" w:type="pct"/>
          </w:tcPr>
          <w:p w:rsidR="00B158AC" w:rsidRPr="00F66358" w:rsidRDefault="00EA3407" w:rsidP="00F66358">
            <w:pPr>
              <w:jc w:val="both"/>
              <w:rPr>
                <w:color w:val="000000" w:themeColor="text1"/>
                <w:sz w:val="28"/>
                <w:szCs w:val="28"/>
              </w:rPr>
            </w:pPr>
            <w:r w:rsidRPr="00EA3407">
              <w:rPr>
                <w:color w:val="000000" w:themeColor="text1"/>
                <w:sz w:val="28"/>
                <w:szCs w:val="28"/>
              </w:rPr>
              <w:t xml:space="preserve">Plānotās sabiedrības līdzdalības un komunikācijas saistībā ar projektu </w:t>
            </w:r>
          </w:p>
        </w:tc>
        <w:tc>
          <w:tcPr>
            <w:tcW w:w="2856" w:type="pct"/>
          </w:tcPr>
          <w:p w:rsidR="00782D13" w:rsidRDefault="00F66358">
            <w:pPr>
              <w:jc w:val="both"/>
              <w:rPr>
                <w:color w:val="000000" w:themeColor="text1"/>
                <w:sz w:val="28"/>
                <w:szCs w:val="28"/>
              </w:rPr>
            </w:pPr>
            <w:r>
              <w:rPr>
                <w:color w:val="000000" w:themeColor="text1"/>
                <w:sz w:val="28"/>
                <w:szCs w:val="28"/>
              </w:rPr>
              <w:t xml:space="preserve">Projekta izstrādes laikā </w:t>
            </w:r>
            <w:r w:rsidRPr="00F66358">
              <w:rPr>
                <w:color w:val="000000" w:themeColor="text1"/>
                <w:sz w:val="28"/>
                <w:szCs w:val="28"/>
              </w:rPr>
              <w:t>notikušas konsultācijas ar Latvijas Raidorganizāciju asociāciju un elektroniskajiem plašsaziņas līdzekļiem, kuri izplata radio programmas interneta vidē.</w:t>
            </w:r>
          </w:p>
        </w:tc>
      </w:tr>
      <w:tr w:rsidR="00E319E6" w:rsidRPr="00F66358" w:rsidTr="00F66358">
        <w:tc>
          <w:tcPr>
            <w:tcW w:w="331" w:type="pct"/>
          </w:tcPr>
          <w:p w:rsidR="00782D13" w:rsidRDefault="00EA3407">
            <w:pPr>
              <w:jc w:val="center"/>
              <w:rPr>
                <w:color w:val="000000" w:themeColor="text1"/>
                <w:sz w:val="28"/>
                <w:szCs w:val="28"/>
              </w:rPr>
            </w:pPr>
            <w:r w:rsidRPr="00EA3407">
              <w:rPr>
                <w:color w:val="000000" w:themeColor="text1"/>
                <w:sz w:val="28"/>
                <w:szCs w:val="28"/>
              </w:rPr>
              <w:t>2.</w:t>
            </w:r>
          </w:p>
        </w:tc>
        <w:tc>
          <w:tcPr>
            <w:tcW w:w="1814" w:type="pct"/>
          </w:tcPr>
          <w:p w:rsidR="00B158AC" w:rsidRPr="00F66358" w:rsidRDefault="00EA3407" w:rsidP="00F66358">
            <w:pPr>
              <w:jc w:val="both"/>
              <w:rPr>
                <w:color w:val="000000" w:themeColor="text1"/>
                <w:sz w:val="28"/>
                <w:szCs w:val="28"/>
              </w:rPr>
            </w:pPr>
            <w:r w:rsidRPr="00EA3407">
              <w:rPr>
                <w:color w:val="000000" w:themeColor="text1"/>
                <w:sz w:val="28"/>
                <w:szCs w:val="28"/>
              </w:rPr>
              <w:t>Sabiedrības līdzdalība projekta izstrādē</w:t>
            </w:r>
          </w:p>
        </w:tc>
        <w:tc>
          <w:tcPr>
            <w:tcW w:w="2856" w:type="pct"/>
          </w:tcPr>
          <w:p w:rsidR="00B158AC" w:rsidRPr="00F66358" w:rsidRDefault="00EA3407" w:rsidP="00F66358">
            <w:pPr>
              <w:jc w:val="both"/>
              <w:rPr>
                <w:color w:val="000000" w:themeColor="text1"/>
                <w:sz w:val="28"/>
                <w:szCs w:val="28"/>
              </w:rPr>
            </w:pPr>
            <w:r w:rsidRPr="00EA3407">
              <w:rPr>
                <w:color w:val="000000" w:themeColor="text1"/>
                <w:sz w:val="28"/>
                <w:szCs w:val="28"/>
              </w:rPr>
              <w:t xml:space="preserve">Par </w:t>
            </w:r>
            <w:r w:rsidR="00F66358">
              <w:rPr>
                <w:color w:val="000000" w:themeColor="text1"/>
                <w:sz w:val="28"/>
                <w:szCs w:val="28"/>
              </w:rPr>
              <w:t>P</w:t>
            </w:r>
            <w:r w:rsidRPr="00EA3407">
              <w:rPr>
                <w:color w:val="000000" w:themeColor="text1"/>
                <w:sz w:val="28"/>
                <w:szCs w:val="28"/>
              </w:rPr>
              <w:t>rojektu ir notikušas konsultācijas ar Latvijas Raidorganizāciju asociāciju un elektroniskajiem plašsaziņas līdzekļiem, kuri izplata radio programmas interneta vidē.</w:t>
            </w:r>
          </w:p>
        </w:tc>
      </w:tr>
      <w:tr w:rsidR="00B158AC" w:rsidRPr="00F66358" w:rsidTr="00F66358">
        <w:tc>
          <w:tcPr>
            <w:tcW w:w="331" w:type="pct"/>
          </w:tcPr>
          <w:p w:rsidR="00782D13" w:rsidRDefault="00EA3407">
            <w:pPr>
              <w:jc w:val="center"/>
              <w:rPr>
                <w:color w:val="000000" w:themeColor="text1"/>
                <w:sz w:val="28"/>
                <w:szCs w:val="28"/>
              </w:rPr>
            </w:pPr>
            <w:r w:rsidRPr="00EA3407">
              <w:rPr>
                <w:color w:val="000000" w:themeColor="text1"/>
                <w:sz w:val="28"/>
                <w:szCs w:val="28"/>
              </w:rPr>
              <w:t>3.</w:t>
            </w:r>
          </w:p>
        </w:tc>
        <w:tc>
          <w:tcPr>
            <w:tcW w:w="1814" w:type="pct"/>
          </w:tcPr>
          <w:p w:rsidR="00B158AC" w:rsidRPr="00F66358" w:rsidRDefault="00EA3407" w:rsidP="00F66358">
            <w:pPr>
              <w:jc w:val="both"/>
              <w:rPr>
                <w:color w:val="000000" w:themeColor="text1"/>
                <w:sz w:val="28"/>
                <w:szCs w:val="28"/>
              </w:rPr>
            </w:pPr>
            <w:r w:rsidRPr="00EA3407">
              <w:rPr>
                <w:color w:val="000000" w:themeColor="text1"/>
                <w:sz w:val="28"/>
                <w:szCs w:val="28"/>
              </w:rPr>
              <w:t>Sabiedrības līdzdalības rezultāti</w:t>
            </w:r>
          </w:p>
        </w:tc>
        <w:tc>
          <w:tcPr>
            <w:tcW w:w="2856" w:type="pct"/>
          </w:tcPr>
          <w:p w:rsidR="00782D13" w:rsidRDefault="00EA3407">
            <w:pPr>
              <w:jc w:val="both"/>
              <w:rPr>
                <w:color w:val="000000" w:themeColor="text1"/>
                <w:sz w:val="28"/>
                <w:szCs w:val="28"/>
              </w:rPr>
            </w:pPr>
            <w:r w:rsidRPr="00EA3407">
              <w:rPr>
                <w:color w:val="000000" w:themeColor="text1"/>
                <w:sz w:val="28"/>
                <w:szCs w:val="28"/>
              </w:rPr>
              <w:t xml:space="preserve">Latvijas Raidorganizāciju asociācija atbalsta </w:t>
            </w:r>
            <w:r w:rsidR="00F66358">
              <w:rPr>
                <w:color w:val="000000" w:themeColor="text1"/>
                <w:sz w:val="28"/>
                <w:szCs w:val="28"/>
              </w:rPr>
              <w:t>P</w:t>
            </w:r>
            <w:r w:rsidRPr="00EA3407">
              <w:rPr>
                <w:color w:val="000000" w:themeColor="text1"/>
                <w:sz w:val="28"/>
                <w:szCs w:val="28"/>
              </w:rPr>
              <w:t>rojektu.</w:t>
            </w:r>
          </w:p>
        </w:tc>
      </w:tr>
      <w:tr w:rsidR="00B158AC" w:rsidRPr="00F66358" w:rsidTr="00F66358">
        <w:trPr>
          <w:trHeight w:val="427"/>
        </w:trPr>
        <w:tc>
          <w:tcPr>
            <w:tcW w:w="331" w:type="pct"/>
          </w:tcPr>
          <w:p w:rsidR="00782D13" w:rsidRDefault="00EA3407">
            <w:pPr>
              <w:jc w:val="center"/>
              <w:rPr>
                <w:color w:val="000000" w:themeColor="text1"/>
                <w:sz w:val="28"/>
                <w:szCs w:val="28"/>
              </w:rPr>
            </w:pPr>
            <w:r w:rsidRPr="00EA3407">
              <w:rPr>
                <w:color w:val="000000" w:themeColor="text1"/>
                <w:sz w:val="28"/>
                <w:szCs w:val="28"/>
              </w:rPr>
              <w:t>4.</w:t>
            </w:r>
          </w:p>
        </w:tc>
        <w:tc>
          <w:tcPr>
            <w:tcW w:w="1814" w:type="pct"/>
          </w:tcPr>
          <w:p w:rsidR="00B158AC" w:rsidRPr="00F66358" w:rsidRDefault="00EA3407" w:rsidP="00F66358">
            <w:pPr>
              <w:jc w:val="both"/>
              <w:rPr>
                <w:color w:val="000000" w:themeColor="text1"/>
                <w:sz w:val="28"/>
                <w:szCs w:val="28"/>
              </w:rPr>
            </w:pPr>
            <w:r w:rsidRPr="00EA3407">
              <w:rPr>
                <w:color w:val="000000" w:themeColor="text1"/>
                <w:sz w:val="28"/>
                <w:szCs w:val="28"/>
              </w:rPr>
              <w:t>Cita informācija</w:t>
            </w:r>
          </w:p>
        </w:tc>
        <w:tc>
          <w:tcPr>
            <w:tcW w:w="2856" w:type="pct"/>
          </w:tcPr>
          <w:p w:rsidR="00782D13" w:rsidRDefault="00EA3407">
            <w:pPr>
              <w:jc w:val="both"/>
              <w:rPr>
                <w:color w:val="000000" w:themeColor="text1"/>
                <w:sz w:val="28"/>
                <w:szCs w:val="28"/>
              </w:rPr>
            </w:pPr>
            <w:r w:rsidRPr="00EA3407">
              <w:rPr>
                <w:color w:val="000000" w:themeColor="text1"/>
                <w:sz w:val="28"/>
                <w:szCs w:val="28"/>
              </w:rPr>
              <w:t>Nav.</w:t>
            </w:r>
          </w:p>
        </w:tc>
      </w:tr>
    </w:tbl>
    <w:p w:rsidR="00163EEB" w:rsidRPr="00F66358" w:rsidRDefault="00EA3407" w:rsidP="00F66358">
      <w:pPr>
        <w:jc w:val="both"/>
        <w:rPr>
          <w:color w:val="000000" w:themeColor="text1"/>
          <w:sz w:val="28"/>
          <w:szCs w:val="28"/>
        </w:rPr>
      </w:pPr>
      <w:r w:rsidRPr="00EA3407">
        <w:rPr>
          <w:color w:val="000000" w:themeColor="text1"/>
          <w:sz w:val="28"/>
          <w:szCs w:val="28"/>
        </w:rPr>
        <w:t xml:space="preserve">        </w:t>
      </w:r>
    </w:p>
    <w:tbl>
      <w:tblPr>
        <w:tblStyle w:val="TableGrid"/>
        <w:tblW w:w="5000" w:type="pct"/>
        <w:tblLook w:val="04A0" w:firstRow="1" w:lastRow="0" w:firstColumn="1" w:lastColumn="0" w:noHBand="0" w:noVBand="1"/>
      </w:tblPr>
      <w:tblGrid>
        <w:gridCol w:w="674"/>
        <w:gridCol w:w="3262"/>
        <w:gridCol w:w="5351"/>
      </w:tblGrid>
      <w:tr w:rsidR="00163EEB" w:rsidRPr="00F66358" w:rsidTr="00F66358">
        <w:tc>
          <w:tcPr>
            <w:tcW w:w="5000" w:type="pct"/>
            <w:gridSpan w:val="3"/>
          </w:tcPr>
          <w:p w:rsidR="00782D13" w:rsidRDefault="00EA3407">
            <w:pPr>
              <w:jc w:val="center"/>
              <w:rPr>
                <w:color w:val="000000" w:themeColor="text1"/>
                <w:sz w:val="28"/>
                <w:szCs w:val="28"/>
              </w:rPr>
            </w:pPr>
            <w:r w:rsidRPr="00EA3407">
              <w:rPr>
                <w:b/>
                <w:color w:val="000000" w:themeColor="text1"/>
                <w:sz w:val="28"/>
                <w:szCs w:val="28"/>
              </w:rPr>
              <w:t>VII. Tiesību akta projekta izpildes nodrošināšana un tās ietekme uz institūcijām</w:t>
            </w:r>
          </w:p>
        </w:tc>
      </w:tr>
      <w:tr w:rsidR="00163EEB" w:rsidRPr="00F66358" w:rsidTr="00F66358">
        <w:tc>
          <w:tcPr>
            <w:tcW w:w="363" w:type="pct"/>
          </w:tcPr>
          <w:p w:rsidR="00782D13" w:rsidRDefault="00EA3407">
            <w:pPr>
              <w:jc w:val="center"/>
              <w:rPr>
                <w:color w:val="000000" w:themeColor="text1"/>
                <w:sz w:val="28"/>
                <w:szCs w:val="28"/>
              </w:rPr>
            </w:pPr>
            <w:r w:rsidRPr="00EA3407">
              <w:rPr>
                <w:color w:val="000000" w:themeColor="text1"/>
                <w:sz w:val="28"/>
                <w:szCs w:val="28"/>
              </w:rPr>
              <w:t>1.</w:t>
            </w:r>
          </w:p>
        </w:tc>
        <w:tc>
          <w:tcPr>
            <w:tcW w:w="1756" w:type="pct"/>
          </w:tcPr>
          <w:p w:rsidR="00163EEB" w:rsidRPr="00F66358" w:rsidRDefault="00EA3407" w:rsidP="00F66358">
            <w:pPr>
              <w:jc w:val="both"/>
              <w:rPr>
                <w:color w:val="000000" w:themeColor="text1"/>
                <w:sz w:val="28"/>
                <w:szCs w:val="28"/>
              </w:rPr>
            </w:pPr>
            <w:r w:rsidRPr="00EA3407">
              <w:rPr>
                <w:color w:val="000000" w:themeColor="text1"/>
                <w:sz w:val="28"/>
                <w:szCs w:val="28"/>
              </w:rPr>
              <w:t>Projekta izpildē iesaistītās institūcijas</w:t>
            </w:r>
          </w:p>
        </w:tc>
        <w:tc>
          <w:tcPr>
            <w:tcW w:w="2881" w:type="pct"/>
          </w:tcPr>
          <w:p w:rsidR="00782D13" w:rsidRDefault="00EA3407">
            <w:pPr>
              <w:jc w:val="both"/>
              <w:rPr>
                <w:color w:val="000000" w:themeColor="text1"/>
                <w:sz w:val="28"/>
                <w:szCs w:val="28"/>
              </w:rPr>
            </w:pPr>
            <w:r w:rsidRPr="00EA3407">
              <w:rPr>
                <w:color w:val="000000" w:themeColor="text1"/>
                <w:sz w:val="28"/>
                <w:szCs w:val="28"/>
              </w:rPr>
              <w:t>Kultūras ministrija un Nacionālā elektronisko plašsaziņas līdzekļu padome</w:t>
            </w:r>
          </w:p>
        </w:tc>
      </w:tr>
      <w:tr w:rsidR="00163EEB" w:rsidRPr="00F66358" w:rsidTr="00F66358">
        <w:tc>
          <w:tcPr>
            <w:tcW w:w="363" w:type="pct"/>
          </w:tcPr>
          <w:p w:rsidR="00782D13" w:rsidRDefault="00EA3407">
            <w:pPr>
              <w:jc w:val="center"/>
              <w:rPr>
                <w:color w:val="000000" w:themeColor="text1"/>
                <w:sz w:val="28"/>
                <w:szCs w:val="28"/>
              </w:rPr>
            </w:pPr>
            <w:r w:rsidRPr="00EA3407">
              <w:rPr>
                <w:color w:val="000000" w:themeColor="text1"/>
                <w:sz w:val="28"/>
                <w:szCs w:val="28"/>
              </w:rPr>
              <w:t>2.</w:t>
            </w:r>
          </w:p>
        </w:tc>
        <w:tc>
          <w:tcPr>
            <w:tcW w:w="1756" w:type="pct"/>
          </w:tcPr>
          <w:p w:rsidR="00163EEB" w:rsidRPr="00F66358" w:rsidRDefault="00EA3407" w:rsidP="00F66358">
            <w:pPr>
              <w:jc w:val="both"/>
              <w:rPr>
                <w:color w:val="000000" w:themeColor="text1"/>
                <w:sz w:val="28"/>
                <w:szCs w:val="28"/>
              </w:rPr>
            </w:pPr>
            <w:r w:rsidRPr="00EA3407">
              <w:rPr>
                <w:color w:val="000000" w:themeColor="text1"/>
                <w:sz w:val="28"/>
                <w:szCs w:val="28"/>
              </w:rPr>
              <w:t>Projekta izpildes ietekme uz pārvaldes funkcijām un institucionālo struktūru</w:t>
            </w:r>
          </w:p>
          <w:p w:rsidR="00782D13" w:rsidRDefault="00782D13">
            <w:pPr>
              <w:jc w:val="both"/>
              <w:rPr>
                <w:color w:val="000000" w:themeColor="text1"/>
                <w:sz w:val="28"/>
                <w:szCs w:val="28"/>
              </w:rPr>
            </w:pPr>
          </w:p>
          <w:p w:rsidR="00782D13" w:rsidRDefault="00EA3407">
            <w:pPr>
              <w:jc w:val="both"/>
              <w:rPr>
                <w:color w:val="000000" w:themeColor="text1"/>
                <w:sz w:val="28"/>
                <w:szCs w:val="28"/>
              </w:rPr>
            </w:pPr>
            <w:r w:rsidRPr="00EA3407">
              <w:rPr>
                <w:color w:val="000000" w:themeColor="text1"/>
                <w:sz w:val="28"/>
                <w:szCs w:val="28"/>
              </w:rPr>
              <w:t>Jaunu institūciju izveide, esošo institūciju likvidācija vai reorganizācija, to ietekme uz institūcijas cilvēkresursiem</w:t>
            </w:r>
          </w:p>
        </w:tc>
        <w:tc>
          <w:tcPr>
            <w:tcW w:w="2881" w:type="pct"/>
          </w:tcPr>
          <w:p w:rsidR="00782D13" w:rsidRDefault="00EA3407">
            <w:pPr>
              <w:jc w:val="both"/>
              <w:rPr>
                <w:color w:val="000000" w:themeColor="text1"/>
                <w:sz w:val="28"/>
                <w:szCs w:val="28"/>
              </w:rPr>
            </w:pPr>
            <w:r w:rsidRPr="00EA3407">
              <w:rPr>
                <w:color w:val="000000" w:themeColor="text1"/>
                <w:sz w:val="28"/>
                <w:szCs w:val="28"/>
              </w:rPr>
              <w:t>Projekta izpilde tiks īstenota Nacionālās elektronisko plašsaziņas līdzekļu padomes esošās kompetences ietvaros.</w:t>
            </w:r>
          </w:p>
          <w:p w:rsidR="00782D13" w:rsidRDefault="00782D13">
            <w:pPr>
              <w:jc w:val="both"/>
              <w:rPr>
                <w:color w:val="000000" w:themeColor="text1"/>
                <w:sz w:val="28"/>
                <w:szCs w:val="28"/>
              </w:rPr>
            </w:pPr>
          </w:p>
          <w:p w:rsidR="00782D13" w:rsidRDefault="00EA3407">
            <w:pPr>
              <w:jc w:val="both"/>
              <w:rPr>
                <w:color w:val="000000" w:themeColor="text1"/>
                <w:sz w:val="28"/>
                <w:szCs w:val="28"/>
              </w:rPr>
            </w:pPr>
            <w:r w:rsidRPr="00EA3407">
              <w:rPr>
                <w:color w:val="000000" w:themeColor="text1"/>
                <w:sz w:val="28"/>
                <w:szCs w:val="28"/>
              </w:rPr>
              <w:t>Projekts neparedz veidot jaunas institūcijas.</w:t>
            </w:r>
          </w:p>
          <w:p w:rsidR="00782D13" w:rsidRDefault="00EA3407">
            <w:pPr>
              <w:jc w:val="both"/>
              <w:rPr>
                <w:color w:val="000000" w:themeColor="text1"/>
                <w:sz w:val="28"/>
                <w:szCs w:val="28"/>
              </w:rPr>
            </w:pPr>
            <w:r w:rsidRPr="00EA3407">
              <w:rPr>
                <w:color w:val="000000" w:themeColor="text1"/>
                <w:sz w:val="28"/>
                <w:szCs w:val="28"/>
              </w:rPr>
              <w:t>Projekts neparedz likvidēt esošās institūcijas vai tās reorganizēt.</w:t>
            </w:r>
          </w:p>
        </w:tc>
      </w:tr>
      <w:tr w:rsidR="00A076DE" w:rsidRPr="00F66358" w:rsidTr="00F66358">
        <w:trPr>
          <w:trHeight w:val="497"/>
        </w:trPr>
        <w:tc>
          <w:tcPr>
            <w:tcW w:w="363" w:type="pct"/>
          </w:tcPr>
          <w:p w:rsidR="00782D13" w:rsidRDefault="00EA3407">
            <w:pPr>
              <w:jc w:val="center"/>
              <w:rPr>
                <w:color w:val="000000" w:themeColor="text1"/>
                <w:sz w:val="28"/>
                <w:szCs w:val="28"/>
              </w:rPr>
            </w:pPr>
            <w:r w:rsidRPr="00EA3407">
              <w:rPr>
                <w:color w:val="000000" w:themeColor="text1"/>
                <w:sz w:val="28"/>
                <w:szCs w:val="28"/>
              </w:rPr>
              <w:t>3.</w:t>
            </w:r>
          </w:p>
        </w:tc>
        <w:tc>
          <w:tcPr>
            <w:tcW w:w="1756" w:type="pct"/>
          </w:tcPr>
          <w:p w:rsidR="00A076DE" w:rsidRPr="00F66358" w:rsidRDefault="00EA3407" w:rsidP="00F66358">
            <w:pPr>
              <w:jc w:val="both"/>
              <w:rPr>
                <w:color w:val="000000" w:themeColor="text1"/>
                <w:sz w:val="28"/>
                <w:szCs w:val="28"/>
              </w:rPr>
            </w:pPr>
            <w:r w:rsidRPr="00EA3407">
              <w:rPr>
                <w:color w:val="000000" w:themeColor="text1"/>
                <w:sz w:val="28"/>
                <w:szCs w:val="28"/>
              </w:rPr>
              <w:t>Cita informācija</w:t>
            </w:r>
          </w:p>
        </w:tc>
        <w:tc>
          <w:tcPr>
            <w:tcW w:w="2881" w:type="pct"/>
          </w:tcPr>
          <w:p w:rsidR="00782D13" w:rsidRDefault="00EA3407">
            <w:pPr>
              <w:jc w:val="both"/>
              <w:rPr>
                <w:color w:val="000000" w:themeColor="text1"/>
                <w:sz w:val="28"/>
                <w:szCs w:val="28"/>
              </w:rPr>
            </w:pPr>
            <w:r w:rsidRPr="00EA3407">
              <w:rPr>
                <w:color w:val="000000" w:themeColor="text1"/>
                <w:sz w:val="28"/>
                <w:szCs w:val="28"/>
              </w:rPr>
              <w:t>Nav.</w:t>
            </w:r>
          </w:p>
        </w:tc>
      </w:tr>
    </w:tbl>
    <w:p w:rsidR="00163EEB" w:rsidRPr="00F66358" w:rsidRDefault="00163EEB" w:rsidP="00F66358">
      <w:pPr>
        <w:jc w:val="both"/>
        <w:rPr>
          <w:color w:val="000000" w:themeColor="text1"/>
          <w:sz w:val="28"/>
          <w:szCs w:val="28"/>
        </w:rPr>
      </w:pPr>
    </w:p>
    <w:p w:rsidR="00F66358" w:rsidRDefault="00A076DE" w:rsidP="00727543">
      <w:pPr>
        <w:jc w:val="both"/>
        <w:rPr>
          <w:sz w:val="28"/>
          <w:szCs w:val="28"/>
        </w:rPr>
      </w:pPr>
      <w:r w:rsidRPr="00E319E6">
        <w:rPr>
          <w:sz w:val="28"/>
          <w:szCs w:val="28"/>
        </w:rPr>
        <w:t xml:space="preserve">      </w:t>
      </w:r>
    </w:p>
    <w:p w:rsidR="00782D13" w:rsidRDefault="00A076DE">
      <w:pPr>
        <w:ind w:firstLine="284"/>
        <w:jc w:val="both"/>
        <w:rPr>
          <w:sz w:val="28"/>
          <w:szCs w:val="28"/>
        </w:rPr>
      </w:pPr>
      <w:r w:rsidRPr="00E319E6">
        <w:rPr>
          <w:sz w:val="28"/>
          <w:szCs w:val="28"/>
        </w:rPr>
        <w:t>Kultūras ministre</w:t>
      </w:r>
      <w:r w:rsidR="00F66358">
        <w:rPr>
          <w:sz w:val="28"/>
          <w:szCs w:val="28"/>
        </w:rPr>
        <w:tab/>
      </w:r>
      <w:r w:rsidR="00F66358">
        <w:rPr>
          <w:sz w:val="28"/>
          <w:szCs w:val="28"/>
        </w:rPr>
        <w:tab/>
      </w:r>
      <w:r w:rsidR="00F66358">
        <w:rPr>
          <w:sz w:val="28"/>
          <w:szCs w:val="28"/>
        </w:rPr>
        <w:tab/>
      </w:r>
      <w:r w:rsidR="00F66358">
        <w:rPr>
          <w:sz w:val="28"/>
          <w:szCs w:val="28"/>
        </w:rPr>
        <w:tab/>
      </w:r>
      <w:r w:rsidR="00F66358">
        <w:rPr>
          <w:sz w:val="28"/>
          <w:szCs w:val="28"/>
        </w:rPr>
        <w:tab/>
      </w:r>
      <w:r w:rsidR="00F66358">
        <w:rPr>
          <w:sz w:val="28"/>
          <w:szCs w:val="28"/>
        </w:rPr>
        <w:tab/>
      </w:r>
      <w:r w:rsidR="00F66358">
        <w:rPr>
          <w:sz w:val="28"/>
          <w:szCs w:val="28"/>
        </w:rPr>
        <w:tab/>
      </w:r>
      <w:r w:rsidRPr="00E319E6">
        <w:rPr>
          <w:sz w:val="28"/>
          <w:szCs w:val="28"/>
        </w:rPr>
        <w:t>D.Melbā</w:t>
      </w:r>
      <w:r w:rsidR="00C07072">
        <w:rPr>
          <w:sz w:val="28"/>
          <w:szCs w:val="28"/>
        </w:rPr>
        <w:t>r</w:t>
      </w:r>
      <w:r w:rsidRPr="00E319E6">
        <w:rPr>
          <w:sz w:val="28"/>
          <w:szCs w:val="28"/>
        </w:rPr>
        <w:t>de</w:t>
      </w:r>
    </w:p>
    <w:p w:rsidR="00A076DE" w:rsidRPr="00E319E6" w:rsidRDefault="00A076DE" w:rsidP="00727543">
      <w:pPr>
        <w:jc w:val="both"/>
        <w:rPr>
          <w:sz w:val="28"/>
          <w:szCs w:val="28"/>
        </w:rPr>
      </w:pPr>
    </w:p>
    <w:p w:rsidR="00A076DE" w:rsidRPr="00E319E6" w:rsidRDefault="00A076DE" w:rsidP="00727543">
      <w:pPr>
        <w:jc w:val="both"/>
        <w:rPr>
          <w:sz w:val="28"/>
          <w:szCs w:val="28"/>
        </w:rPr>
      </w:pPr>
      <w:r w:rsidRPr="00E319E6">
        <w:rPr>
          <w:sz w:val="28"/>
          <w:szCs w:val="28"/>
        </w:rPr>
        <w:t xml:space="preserve">    Valsts sekretār</w:t>
      </w:r>
      <w:r w:rsidR="005932D6">
        <w:rPr>
          <w:sz w:val="28"/>
          <w:szCs w:val="28"/>
        </w:rPr>
        <w:t>s</w:t>
      </w:r>
      <w:r w:rsidRPr="00E319E6">
        <w:rPr>
          <w:sz w:val="28"/>
          <w:szCs w:val="28"/>
        </w:rPr>
        <w:t xml:space="preserve">                                                </w:t>
      </w:r>
      <w:r w:rsidR="00F66358">
        <w:rPr>
          <w:sz w:val="28"/>
          <w:szCs w:val="28"/>
        </w:rPr>
        <w:tab/>
      </w:r>
      <w:r w:rsidR="00F66358">
        <w:rPr>
          <w:sz w:val="28"/>
          <w:szCs w:val="28"/>
        </w:rPr>
        <w:tab/>
      </w:r>
      <w:r w:rsidR="00F66358">
        <w:rPr>
          <w:sz w:val="28"/>
          <w:szCs w:val="28"/>
        </w:rPr>
        <w:tab/>
      </w:r>
      <w:r w:rsidRPr="00E319E6">
        <w:rPr>
          <w:sz w:val="28"/>
          <w:szCs w:val="28"/>
        </w:rPr>
        <w:t xml:space="preserve">S.Voldiņš      </w:t>
      </w:r>
    </w:p>
    <w:p w:rsidR="00A076DE" w:rsidRPr="00E319E6" w:rsidRDefault="00A076DE" w:rsidP="00727543">
      <w:pPr>
        <w:jc w:val="both"/>
        <w:rPr>
          <w:sz w:val="28"/>
          <w:szCs w:val="28"/>
        </w:rPr>
      </w:pPr>
    </w:p>
    <w:p w:rsidR="00F66358" w:rsidRPr="005932D6" w:rsidRDefault="00F66358" w:rsidP="00727543">
      <w:pPr>
        <w:jc w:val="both"/>
        <w:rPr>
          <w:sz w:val="28"/>
          <w:szCs w:val="28"/>
        </w:rPr>
      </w:pPr>
    </w:p>
    <w:p w:rsidR="00A076DE" w:rsidRPr="00F66358" w:rsidRDefault="00EA3407" w:rsidP="00727543">
      <w:pPr>
        <w:jc w:val="both"/>
        <w:rPr>
          <w:sz w:val="22"/>
          <w:szCs w:val="22"/>
        </w:rPr>
      </w:pPr>
      <w:r w:rsidRPr="00EA3407">
        <w:rPr>
          <w:sz w:val="22"/>
          <w:szCs w:val="22"/>
        </w:rPr>
        <w:t>20.01.2015.</w:t>
      </w:r>
    </w:p>
    <w:p w:rsidR="005932D6" w:rsidRPr="00F66358" w:rsidRDefault="00EA3407" w:rsidP="00727543">
      <w:pPr>
        <w:jc w:val="both"/>
        <w:rPr>
          <w:sz w:val="22"/>
          <w:szCs w:val="22"/>
        </w:rPr>
      </w:pPr>
      <w:r w:rsidRPr="00EA3407">
        <w:rPr>
          <w:sz w:val="22"/>
          <w:szCs w:val="22"/>
        </w:rPr>
        <w:t>5</w:t>
      </w:r>
      <w:r w:rsidR="00030D23">
        <w:rPr>
          <w:sz w:val="22"/>
          <w:szCs w:val="22"/>
        </w:rPr>
        <w:t>65</w:t>
      </w:r>
    </w:p>
    <w:p w:rsidR="00A076DE" w:rsidRPr="00F66358" w:rsidRDefault="00EA3407" w:rsidP="00727543">
      <w:pPr>
        <w:jc w:val="both"/>
        <w:rPr>
          <w:sz w:val="22"/>
          <w:szCs w:val="22"/>
        </w:rPr>
      </w:pPr>
      <w:bookmarkStart w:id="3" w:name="OLE_LINK5"/>
      <w:bookmarkStart w:id="4" w:name="OLE_LINK6"/>
      <w:r w:rsidRPr="00EA3407">
        <w:rPr>
          <w:sz w:val="22"/>
          <w:szCs w:val="22"/>
        </w:rPr>
        <w:t xml:space="preserve">I.Pelše </w:t>
      </w:r>
      <w:bookmarkStart w:id="5" w:name="OLE_LINK3"/>
      <w:bookmarkStart w:id="6" w:name="OLE_LINK4"/>
      <w:bookmarkEnd w:id="3"/>
      <w:bookmarkEnd w:id="4"/>
      <w:r w:rsidRPr="00EA3407">
        <w:rPr>
          <w:sz w:val="22"/>
          <w:szCs w:val="22"/>
        </w:rPr>
        <w:t>67221848</w:t>
      </w:r>
    </w:p>
    <w:p w:rsidR="00A076DE" w:rsidRPr="00F66358" w:rsidRDefault="005D2773" w:rsidP="00727543">
      <w:pPr>
        <w:jc w:val="both"/>
        <w:rPr>
          <w:sz w:val="22"/>
          <w:szCs w:val="22"/>
        </w:rPr>
      </w:pPr>
      <w:hyperlink r:id="rId13" w:history="1">
        <w:r w:rsidR="00EA3407" w:rsidRPr="00EA3407">
          <w:rPr>
            <w:rStyle w:val="Hyperlink"/>
            <w:sz w:val="22"/>
            <w:szCs w:val="22"/>
          </w:rPr>
          <w:t>iveta.pelse@neplpadome.l</w:t>
        </w:r>
        <w:r w:rsidR="00F66358" w:rsidRPr="000A6AC2">
          <w:rPr>
            <w:rStyle w:val="Hyperlink"/>
            <w:sz w:val="22"/>
            <w:szCs w:val="22"/>
          </w:rPr>
          <w:t>v</w:t>
        </w:r>
      </w:hyperlink>
      <w:bookmarkEnd w:id="5"/>
      <w:bookmarkEnd w:id="6"/>
      <w:r w:rsidR="00F66358">
        <w:rPr>
          <w:sz w:val="22"/>
          <w:szCs w:val="22"/>
        </w:rPr>
        <w:t xml:space="preserve"> </w:t>
      </w:r>
    </w:p>
    <w:sectPr w:rsidR="00A076DE" w:rsidRPr="00F66358" w:rsidSect="00403FA4">
      <w:headerReference w:type="default" r:id="rId14"/>
      <w:footerReference w:type="default" r:id="rId15"/>
      <w:footerReference w:type="first" r:id="rId16"/>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3" w:rsidRDefault="005D2773" w:rsidP="00CA685C">
      <w:r>
        <w:separator/>
      </w:r>
    </w:p>
  </w:endnote>
  <w:endnote w:type="continuationSeparator" w:id="0">
    <w:p w:rsidR="005D2773" w:rsidRDefault="005D2773" w:rsidP="00CA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58" w:rsidRPr="00F66358" w:rsidRDefault="00EA3407" w:rsidP="00403FA4">
    <w:pPr>
      <w:jc w:val="both"/>
      <w:outlineLvl w:val="0"/>
      <w:rPr>
        <w:color w:val="000000" w:themeColor="text1"/>
        <w:sz w:val="22"/>
        <w:szCs w:val="22"/>
      </w:rPr>
    </w:pPr>
    <w:r w:rsidRPr="00EA3407">
      <w:rPr>
        <w:color w:val="000000" w:themeColor="text1"/>
        <w:sz w:val="22"/>
        <w:szCs w:val="22"/>
      </w:rPr>
      <w:t>KMAnot_200115</w:t>
    </w:r>
    <w:r w:rsidR="00F66358">
      <w:rPr>
        <w:color w:val="000000" w:themeColor="text1"/>
        <w:sz w:val="22"/>
        <w:szCs w:val="22"/>
      </w:rPr>
      <w:t xml:space="preserve">; </w:t>
    </w:r>
    <w:r w:rsidRPr="00EA3407">
      <w:rPr>
        <w:color w:val="000000" w:themeColor="text1"/>
        <w:sz w:val="22"/>
        <w:szCs w:val="22"/>
      </w:rPr>
      <w:t>Ministru kabineta noteikumu projekta„Grozījums Ministru kabineta 2010.gada 28.decembra noteikumos Nr.1238 „</w:t>
    </w:r>
    <w:hyperlink r:id="rId1" w:tgtFrame="_blank" w:history="1">
      <w:r w:rsidRPr="00EA3407">
        <w:rPr>
          <w:color w:val="000000" w:themeColor="text1"/>
          <w:sz w:val="22"/>
          <w:szCs w:val="22"/>
        </w:rPr>
        <w:t>Noteikumi par valsts nodevu par apraides atļaujas izsniegšanu, retranslācijas atļaujas izsniegšanu un tāda pakalpojumu sniedzēja reģistrāciju, kas sniedz elektronisko plašsaziņas līdzekļu pakalpojumus pēc pieprasījuma</w:t>
      </w:r>
    </w:hyperlink>
    <w:r w:rsidRPr="00EA3407">
      <w:rPr>
        <w:color w:val="000000" w:themeColor="text1"/>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13" w:rsidRDefault="00F66358">
    <w:pPr>
      <w:jc w:val="both"/>
      <w:outlineLvl w:val="0"/>
      <w:rPr>
        <w:color w:val="000000" w:themeColor="text1"/>
        <w:sz w:val="22"/>
        <w:szCs w:val="22"/>
      </w:rPr>
    </w:pPr>
    <w:r w:rsidRPr="00F66358">
      <w:rPr>
        <w:color w:val="000000" w:themeColor="text1"/>
        <w:sz w:val="22"/>
        <w:szCs w:val="22"/>
      </w:rPr>
      <w:t>KMAnot_200115</w:t>
    </w:r>
    <w:r>
      <w:rPr>
        <w:color w:val="000000" w:themeColor="text1"/>
        <w:sz w:val="22"/>
        <w:szCs w:val="22"/>
      </w:rPr>
      <w:t xml:space="preserve">; </w:t>
    </w:r>
    <w:r w:rsidRPr="00F66358">
      <w:rPr>
        <w:color w:val="000000" w:themeColor="text1"/>
        <w:sz w:val="22"/>
        <w:szCs w:val="22"/>
      </w:rPr>
      <w:t>Ministru kabineta noteikumu projekta„Grozījums Ministru kabineta 2010.gada 28.decembra noteikumos Nr.1238 „</w:t>
    </w:r>
    <w:hyperlink r:id="rId1" w:tgtFrame="_blank" w:history="1">
      <w:r w:rsidRPr="00F66358">
        <w:rPr>
          <w:color w:val="000000" w:themeColor="text1"/>
          <w:sz w:val="22"/>
          <w:szCs w:val="22"/>
        </w:rPr>
        <w:t>Noteikumi par valsts nodevu par apraides atļaujas izsniegšanu, retranslācijas atļaujas izsniegšanu un tāda pakalpojumu sniedzēja reģistrāciju, kas sniedz elektronisko plašsaziņas līdzekļu pakalpojumus pēc pieprasījuma</w:t>
      </w:r>
    </w:hyperlink>
    <w:r w:rsidRPr="00F66358">
      <w:rPr>
        <w:color w:val="000000" w:themeColor="text1"/>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3" w:rsidRDefault="005D2773" w:rsidP="00CA685C">
      <w:r>
        <w:separator/>
      </w:r>
    </w:p>
  </w:footnote>
  <w:footnote w:type="continuationSeparator" w:id="0">
    <w:p w:rsidR="005D2773" w:rsidRDefault="005D2773" w:rsidP="00CA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3264"/>
      <w:docPartObj>
        <w:docPartGallery w:val="Page Numbers (Top of Page)"/>
        <w:docPartUnique/>
      </w:docPartObj>
    </w:sdtPr>
    <w:sdtEndPr>
      <w:rPr>
        <w:sz w:val="22"/>
        <w:szCs w:val="22"/>
      </w:rPr>
    </w:sdtEndPr>
    <w:sdtContent>
      <w:p w:rsidR="00F66358" w:rsidRPr="00F66358" w:rsidRDefault="00782D13">
        <w:pPr>
          <w:pStyle w:val="Header"/>
          <w:jc w:val="center"/>
          <w:rPr>
            <w:sz w:val="22"/>
            <w:szCs w:val="22"/>
          </w:rPr>
        </w:pPr>
        <w:r w:rsidRPr="00EA3407">
          <w:rPr>
            <w:sz w:val="22"/>
            <w:szCs w:val="22"/>
          </w:rPr>
          <w:fldChar w:fldCharType="begin"/>
        </w:r>
        <w:r w:rsidR="00EA3407" w:rsidRPr="00EA3407">
          <w:rPr>
            <w:sz w:val="22"/>
            <w:szCs w:val="22"/>
          </w:rPr>
          <w:instrText xml:space="preserve"> PAGE   \* MERGEFORMAT </w:instrText>
        </w:r>
        <w:r w:rsidRPr="00EA3407">
          <w:rPr>
            <w:sz w:val="22"/>
            <w:szCs w:val="22"/>
          </w:rPr>
          <w:fldChar w:fldCharType="separate"/>
        </w:r>
        <w:r w:rsidR="0057473E">
          <w:rPr>
            <w:noProof/>
            <w:sz w:val="22"/>
            <w:szCs w:val="22"/>
          </w:rPr>
          <w:t>3</w:t>
        </w:r>
        <w:r w:rsidRPr="00EA3407">
          <w:rPr>
            <w:sz w:val="22"/>
            <w:szCs w:val="22"/>
          </w:rPr>
          <w:fldChar w:fldCharType="end"/>
        </w:r>
      </w:p>
    </w:sdtContent>
  </w:sdt>
  <w:p w:rsidR="00F66358" w:rsidRDefault="00F6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479"/>
    <w:multiLevelType w:val="hybridMultilevel"/>
    <w:tmpl w:val="65700FAA"/>
    <w:lvl w:ilvl="0" w:tplc="B2E6CAFA">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0D624A"/>
    <w:multiLevelType w:val="hybridMultilevel"/>
    <w:tmpl w:val="2E12F2F2"/>
    <w:lvl w:ilvl="0" w:tplc="5C8E35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8F53A8"/>
    <w:multiLevelType w:val="hybridMultilevel"/>
    <w:tmpl w:val="B164C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814BFF"/>
    <w:multiLevelType w:val="hybridMultilevel"/>
    <w:tmpl w:val="8B20DA68"/>
    <w:lvl w:ilvl="0" w:tplc="0409000F">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5E5069A7"/>
    <w:multiLevelType w:val="multilevel"/>
    <w:tmpl w:val="3C6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55837"/>
    <w:multiLevelType w:val="hybridMultilevel"/>
    <w:tmpl w:val="1C22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F2A1E"/>
    <w:multiLevelType w:val="hybridMultilevel"/>
    <w:tmpl w:val="E8242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1863"/>
    <w:rsid w:val="00022EEF"/>
    <w:rsid w:val="0003009C"/>
    <w:rsid w:val="00030D23"/>
    <w:rsid w:val="00032A3D"/>
    <w:rsid w:val="00051429"/>
    <w:rsid w:val="000A0F98"/>
    <w:rsid w:val="000E2458"/>
    <w:rsid w:val="000E4C51"/>
    <w:rsid w:val="000E6C28"/>
    <w:rsid w:val="00141226"/>
    <w:rsid w:val="00162362"/>
    <w:rsid w:val="001623B0"/>
    <w:rsid w:val="00163EEB"/>
    <w:rsid w:val="001A4B7D"/>
    <w:rsid w:val="001B2355"/>
    <w:rsid w:val="001C7987"/>
    <w:rsid w:val="001D5E9D"/>
    <w:rsid w:val="001F4BC5"/>
    <w:rsid w:val="001F6D02"/>
    <w:rsid w:val="0020752A"/>
    <w:rsid w:val="0021571D"/>
    <w:rsid w:val="002430B5"/>
    <w:rsid w:val="00257E15"/>
    <w:rsid w:val="00296C79"/>
    <w:rsid w:val="002A60CC"/>
    <w:rsid w:val="002C5B56"/>
    <w:rsid w:val="00327E0C"/>
    <w:rsid w:val="003949F7"/>
    <w:rsid w:val="003A1DD0"/>
    <w:rsid w:val="003C0578"/>
    <w:rsid w:val="003C7439"/>
    <w:rsid w:val="003E0B57"/>
    <w:rsid w:val="003F21E1"/>
    <w:rsid w:val="003F3DEE"/>
    <w:rsid w:val="00403FA4"/>
    <w:rsid w:val="00410C5B"/>
    <w:rsid w:val="0041425A"/>
    <w:rsid w:val="004432DF"/>
    <w:rsid w:val="0045284B"/>
    <w:rsid w:val="004531B0"/>
    <w:rsid w:val="004747DD"/>
    <w:rsid w:val="004A3C8A"/>
    <w:rsid w:val="004A6691"/>
    <w:rsid w:val="004B6532"/>
    <w:rsid w:val="004E6233"/>
    <w:rsid w:val="0057473E"/>
    <w:rsid w:val="00577B3F"/>
    <w:rsid w:val="005932D6"/>
    <w:rsid w:val="005A4BB6"/>
    <w:rsid w:val="005D2773"/>
    <w:rsid w:val="005D6592"/>
    <w:rsid w:val="006175B8"/>
    <w:rsid w:val="00631D54"/>
    <w:rsid w:val="0065490E"/>
    <w:rsid w:val="006A061A"/>
    <w:rsid w:val="006D5EB3"/>
    <w:rsid w:val="006F384F"/>
    <w:rsid w:val="00702637"/>
    <w:rsid w:val="00727543"/>
    <w:rsid w:val="0076225C"/>
    <w:rsid w:val="00782D13"/>
    <w:rsid w:val="00792D8F"/>
    <w:rsid w:val="00794D76"/>
    <w:rsid w:val="007A1863"/>
    <w:rsid w:val="007D666A"/>
    <w:rsid w:val="007E2897"/>
    <w:rsid w:val="00825A2A"/>
    <w:rsid w:val="00827683"/>
    <w:rsid w:val="00890D44"/>
    <w:rsid w:val="008B029A"/>
    <w:rsid w:val="008B26F3"/>
    <w:rsid w:val="008F0D27"/>
    <w:rsid w:val="00940E8B"/>
    <w:rsid w:val="0096663D"/>
    <w:rsid w:val="00967DD0"/>
    <w:rsid w:val="009721B2"/>
    <w:rsid w:val="009B1ACF"/>
    <w:rsid w:val="009B3697"/>
    <w:rsid w:val="009E64BF"/>
    <w:rsid w:val="009F1606"/>
    <w:rsid w:val="00A076DE"/>
    <w:rsid w:val="00A1018C"/>
    <w:rsid w:val="00A57A80"/>
    <w:rsid w:val="00A72420"/>
    <w:rsid w:val="00A766FA"/>
    <w:rsid w:val="00AE4A08"/>
    <w:rsid w:val="00AE6DCC"/>
    <w:rsid w:val="00AF0F51"/>
    <w:rsid w:val="00AF7B31"/>
    <w:rsid w:val="00B13F98"/>
    <w:rsid w:val="00B158AC"/>
    <w:rsid w:val="00B27286"/>
    <w:rsid w:val="00B504E1"/>
    <w:rsid w:val="00B63EBF"/>
    <w:rsid w:val="00B72BE8"/>
    <w:rsid w:val="00BB43C4"/>
    <w:rsid w:val="00BB701E"/>
    <w:rsid w:val="00BD20DC"/>
    <w:rsid w:val="00BF4025"/>
    <w:rsid w:val="00BF7698"/>
    <w:rsid w:val="00C07072"/>
    <w:rsid w:val="00C1129E"/>
    <w:rsid w:val="00C35C48"/>
    <w:rsid w:val="00C61F19"/>
    <w:rsid w:val="00CA685C"/>
    <w:rsid w:val="00CC259C"/>
    <w:rsid w:val="00D304E1"/>
    <w:rsid w:val="00D426F5"/>
    <w:rsid w:val="00D427AD"/>
    <w:rsid w:val="00D65D7B"/>
    <w:rsid w:val="00D73C50"/>
    <w:rsid w:val="00DA1A51"/>
    <w:rsid w:val="00DB3E85"/>
    <w:rsid w:val="00DC0226"/>
    <w:rsid w:val="00DC36E9"/>
    <w:rsid w:val="00DD637A"/>
    <w:rsid w:val="00DE3639"/>
    <w:rsid w:val="00E008F2"/>
    <w:rsid w:val="00E319E6"/>
    <w:rsid w:val="00E407BB"/>
    <w:rsid w:val="00E6734D"/>
    <w:rsid w:val="00EA3407"/>
    <w:rsid w:val="00EC29E1"/>
    <w:rsid w:val="00EE7ED0"/>
    <w:rsid w:val="00F05038"/>
    <w:rsid w:val="00F241EC"/>
    <w:rsid w:val="00F33617"/>
    <w:rsid w:val="00F66358"/>
    <w:rsid w:val="00F87D83"/>
    <w:rsid w:val="00F9027A"/>
    <w:rsid w:val="00FB6EF3"/>
    <w:rsid w:val="00FC20E7"/>
    <w:rsid w:val="00FD4F97"/>
    <w:rsid w:val="00FD72D9"/>
    <w:rsid w:val="00FE0179"/>
    <w:rsid w:val="00FE1D57"/>
    <w:rsid w:val="00FE6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5E9D"/>
    <w:pPr>
      <w:suppressAutoHyphens/>
    </w:pPr>
    <w:rPr>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1D5E9D"/>
  </w:style>
  <w:style w:type="character" w:customStyle="1" w:styleId="WW-DefaultParagraphFont1">
    <w:name w:val="WW-Default Paragraph Font1"/>
    <w:rsid w:val="001D5E9D"/>
  </w:style>
  <w:style w:type="character" w:styleId="Hyperlink">
    <w:name w:val="Hyperlink"/>
    <w:rsid w:val="001D5E9D"/>
    <w:rPr>
      <w:color w:val="000080"/>
      <w:u w:val="single"/>
    </w:rPr>
  </w:style>
  <w:style w:type="paragraph" w:customStyle="1" w:styleId="Heading">
    <w:name w:val="Heading"/>
    <w:basedOn w:val="Normal"/>
    <w:next w:val="BodyText"/>
    <w:rsid w:val="001D5E9D"/>
    <w:pPr>
      <w:keepNext/>
      <w:spacing w:before="240" w:after="120"/>
    </w:pPr>
    <w:rPr>
      <w:rFonts w:ascii="Arial" w:eastAsia="SimSun" w:hAnsi="Arial" w:cs="Mangal"/>
      <w:sz w:val="28"/>
      <w:szCs w:val="28"/>
    </w:rPr>
  </w:style>
  <w:style w:type="paragraph" w:styleId="BodyText">
    <w:name w:val="Body Text"/>
    <w:basedOn w:val="Normal"/>
    <w:rsid w:val="001D5E9D"/>
    <w:pPr>
      <w:spacing w:after="120"/>
    </w:pPr>
  </w:style>
  <w:style w:type="paragraph" w:styleId="List">
    <w:name w:val="List"/>
    <w:basedOn w:val="BodyText"/>
    <w:rsid w:val="001D5E9D"/>
    <w:rPr>
      <w:rFonts w:cs="Mangal"/>
    </w:rPr>
  </w:style>
  <w:style w:type="paragraph" w:styleId="Caption">
    <w:name w:val="caption"/>
    <w:basedOn w:val="Normal"/>
    <w:qFormat/>
    <w:rsid w:val="001D5E9D"/>
    <w:pPr>
      <w:suppressLineNumbers/>
      <w:spacing w:before="120" w:after="120"/>
    </w:pPr>
    <w:rPr>
      <w:rFonts w:cs="Mangal"/>
      <w:i/>
      <w:iCs/>
    </w:rPr>
  </w:style>
  <w:style w:type="paragraph" w:customStyle="1" w:styleId="Index">
    <w:name w:val="Index"/>
    <w:basedOn w:val="Normal"/>
    <w:rsid w:val="001D5E9D"/>
    <w:pPr>
      <w:suppressLineNumbers/>
    </w:pPr>
    <w:rPr>
      <w:rFonts w:cs="Mangal"/>
    </w:rPr>
  </w:style>
  <w:style w:type="paragraph" w:styleId="BalloonText">
    <w:name w:val="Balloon Text"/>
    <w:basedOn w:val="Normal"/>
    <w:link w:val="BalloonTextChar"/>
    <w:uiPriority w:val="99"/>
    <w:semiHidden/>
    <w:unhideWhenUsed/>
    <w:rsid w:val="00BB43C4"/>
    <w:rPr>
      <w:rFonts w:ascii="Tahoma" w:hAnsi="Tahoma" w:cs="Tahoma"/>
      <w:sz w:val="16"/>
      <w:szCs w:val="16"/>
    </w:rPr>
  </w:style>
  <w:style w:type="character" w:customStyle="1" w:styleId="BalloonTextChar">
    <w:name w:val="Balloon Text Char"/>
    <w:basedOn w:val="DefaultParagraphFont"/>
    <w:link w:val="BalloonText"/>
    <w:uiPriority w:val="99"/>
    <w:semiHidden/>
    <w:rsid w:val="00BB43C4"/>
    <w:rPr>
      <w:rFonts w:ascii="Tahoma" w:hAnsi="Tahoma" w:cs="Tahoma"/>
      <w:sz w:val="16"/>
      <w:szCs w:val="16"/>
      <w:lang w:val="lv-LV" w:eastAsia="ar-SA"/>
    </w:rPr>
  </w:style>
  <w:style w:type="character" w:styleId="CommentReference">
    <w:name w:val="annotation reference"/>
    <w:basedOn w:val="DefaultParagraphFont"/>
    <w:uiPriority w:val="99"/>
    <w:semiHidden/>
    <w:unhideWhenUsed/>
    <w:rsid w:val="00BB43C4"/>
    <w:rPr>
      <w:sz w:val="16"/>
      <w:szCs w:val="16"/>
    </w:rPr>
  </w:style>
  <w:style w:type="paragraph" w:styleId="CommentText">
    <w:name w:val="annotation text"/>
    <w:basedOn w:val="Normal"/>
    <w:link w:val="CommentTextChar"/>
    <w:uiPriority w:val="99"/>
    <w:semiHidden/>
    <w:unhideWhenUsed/>
    <w:rsid w:val="00BB43C4"/>
    <w:rPr>
      <w:sz w:val="20"/>
      <w:szCs w:val="20"/>
    </w:rPr>
  </w:style>
  <w:style w:type="character" w:customStyle="1" w:styleId="CommentTextChar">
    <w:name w:val="Comment Text Char"/>
    <w:basedOn w:val="DefaultParagraphFont"/>
    <w:link w:val="CommentText"/>
    <w:uiPriority w:val="99"/>
    <w:semiHidden/>
    <w:rsid w:val="00BB43C4"/>
    <w:rPr>
      <w:lang w:val="lv-LV" w:eastAsia="ar-SA"/>
    </w:rPr>
  </w:style>
  <w:style w:type="paragraph" w:styleId="CommentSubject">
    <w:name w:val="annotation subject"/>
    <w:basedOn w:val="CommentText"/>
    <w:next w:val="CommentText"/>
    <w:link w:val="CommentSubjectChar"/>
    <w:uiPriority w:val="99"/>
    <w:semiHidden/>
    <w:unhideWhenUsed/>
    <w:rsid w:val="00BB43C4"/>
    <w:rPr>
      <w:b/>
      <w:bCs/>
    </w:rPr>
  </w:style>
  <w:style w:type="character" w:customStyle="1" w:styleId="CommentSubjectChar">
    <w:name w:val="Comment Subject Char"/>
    <w:basedOn w:val="CommentTextChar"/>
    <w:link w:val="CommentSubject"/>
    <w:uiPriority w:val="99"/>
    <w:semiHidden/>
    <w:rsid w:val="00BB43C4"/>
    <w:rPr>
      <w:b/>
      <w:bCs/>
      <w:lang w:val="lv-LV" w:eastAsia="ar-SA"/>
    </w:rPr>
  </w:style>
  <w:style w:type="paragraph" w:styleId="Header">
    <w:name w:val="header"/>
    <w:basedOn w:val="Normal"/>
    <w:link w:val="HeaderChar"/>
    <w:uiPriority w:val="99"/>
    <w:unhideWhenUsed/>
    <w:rsid w:val="00CA685C"/>
    <w:pPr>
      <w:tabs>
        <w:tab w:val="center" w:pos="4153"/>
        <w:tab w:val="right" w:pos="8306"/>
      </w:tabs>
    </w:pPr>
  </w:style>
  <w:style w:type="character" w:customStyle="1" w:styleId="HeaderChar">
    <w:name w:val="Header Char"/>
    <w:basedOn w:val="DefaultParagraphFont"/>
    <w:link w:val="Header"/>
    <w:uiPriority w:val="99"/>
    <w:rsid w:val="00CA685C"/>
    <w:rPr>
      <w:sz w:val="24"/>
      <w:szCs w:val="24"/>
      <w:lang w:val="lv-LV" w:eastAsia="ar-SA"/>
    </w:rPr>
  </w:style>
  <w:style w:type="paragraph" w:styleId="Footer">
    <w:name w:val="footer"/>
    <w:basedOn w:val="Normal"/>
    <w:link w:val="FooterChar"/>
    <w:uiPriority w:val="99"/>
    <w:unhideWhenUsed/>
    <w:rsid w:val="00CA685C"/>
    <w:pPr>
      <w:tabs>
        <w:tab w:val="center" w:pos="4153"/>
        <w:tab w:val="right" w:pos="8306"/>
      </w:tabs>
    </w:pPr>
  </w:style>
  <w:style w:type="character" w:customStyle="1" w:styleId="FooterChar">
    <w:name w:val="Footer Char"/>
    <w:basedOn w:val="DefaultParagraphFont"/>
    <w:link w:val="Footer"/>
    <w:uiPriority w:val="99"/>
    <w:rsid w:val="00CA685C"/>
    <w:rPr>
      <w:sz w:val="24"/>
      <w:szCs w:val="24"/>
      <w:lang w:val="lv-LV" w:eastAsia="ar-SA"/>
    </w:rPr>
  </w:style>
  <w:style w:type="table" w:styleId="TableGrid">
    <w:name w:val="Table Grid"/>
    <w:basedOn w:val="TableNormal"/>
    <w:uiPriority w:val="59"/>
    <w:rsid w:val="00A7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72420"/>
    <w:pPr>
      <w:ind w:left="720"/>
      <w:contextualSpacing/>
    </w:pPr>
  </w:style>
  <w:style w:type="paragraph" w:customStyle="1" w:styleId="naisf">
    <w:name w:val="naisf"/>
    <w:basedOn w:val="Normal"/>
    <w:rsid w:val="00E407BB"/>
    <w:pPr>
      <w:suppressAutoHyphens w:val="0"/>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a.pelse@neplpadom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23623-noteikumi-par-valsts-nodevu-par-apraides-atlaujas-izsniegsanu-retranslacijas-atlaujas-izsniegsanu-un-tada-pakalpojumu-sniedze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3623-noteikumi-par-valsts-nodevu-par-apraides-atlaujas-izsniegsanu-retranslacijas-atlaujas-izsniegsanu-un-tada-pakalpojumu-sniedzej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23623-noteikumi-par-valsts-nodevu-par-apraides-atlaujas-izsniegsanu-retranslacijas-atlaujas-izsniegsanu-un-tada-pakalpojumu-sniedzeja..." TargetMode="External"/><Relationship Id="rId4" Type="http://schemas.microsoft.com/office/2007/relationships/stylesWithEffects" Target="stylesWithEffects.xml"/><Relationship Id="rId9" Type="http://schemas.openxmlformats.org/officeDocument/2006/relationships/hyperlink" Target="http://likumi.lv/ta/id/223623-noteikumi-par-valsts-nodevu-par-apraides-atlaujas-izsniegsanu-retranslacijas-atlaujas-izsniegsanu-un-tada-pakalpojumu-sniedzej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223623-noteikumi-par-valsts-nodevu-par-apraides-atlaujas-izsniegsanu-retranslacijas-atlaujas-izsniegsanu-un-tada-pakalpojumu-sniedzej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223623-noteikumi-par-valsts-nodevu-par-apraides-atlaujas-izsniegsanu-retranslacijas-atlaujas-izsniegsanu-un-tada-pakalpojumu-sniedze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B9F9-D6A8-4C85-8029-CCE2F5F0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3699</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2010.gada 28.decembra noteikumos Nr.1238 „Noteikumi par valsts nodevu par apraides atļaujas izsniegšanu, retranslācijas atļaujas izsniegšanu un tāda pakalpojumu sniedzēja reģistrāciju, kas </vt:lpstr>
      <vt:lpstr>Pieteikuma vēstule</vt:lpstr>
    </vt:vector>
  </TitlesOfParts>
  <Company>Jurmalas pilsetas dome</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28.decembra noteikumos Nr.1238 „Noteikumi par valsts nodevu par apraides atļaujas izsniegšanu, retranslācijas atļaujas izsniegšanu un tāda pakalpojumu sniedzēja reģistrāciju, kas sniedz elektronisko plašsaziņas līdzekļu pakalpojumus pēc pieprasījuma” sākotnējās ietekmes novērtējuma ziņojums (anotācija)</dc:title>
  <dc:subject>Ministru kabineta noteikumu projekta anotācija</dc:subject>
  <dc:creator>I.Pelše</dc:creator>
  <dc:description>67221848
iveta.pelse@neplpadome.lv</dc:description>
  <cp:lastModifiedBy>Laimdota Adlere</cp:lastModifiedBy>
  <cp:revision>4</cp:revision>
  <cp:lastPrinted>2014-09-19T07:07:00Z</cp:lastPrinted>
  <dcterms:created xsi:type="dcterms:W3CDTF">2015-02-03T11:14:00Z</dcterms:created>
  <dcterms:modified xsi:type="dcterms:W3CDTF">2015-02-03T11:14:00Z</dcterms:modified>
</cp:coreProperties>
</file>